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89" w:rsidRPr="00976B97" w:rsidRDefault="00473E89" w:rsidP="00473E89">
      <w:pPr>
        <w:jc w:val="center"/>
        <w:rPr>
          <w:rFonts w:ascii="Times New Roman" w:eastAsia="Arial" w:hAnsi="Times New Roman" w:cs="Times New Roman"/>
          <w:color w:val="000000"/>
          <w:sz w:val="24"/>
          <w:szCs w:val="24"/>
          <w:highlight w:val="white"/>
        </w:rPr>
      </w:pPr>
      <w:r w:rsidRPr="006A7EFD">
        <w:rPr>
          <w:rFonts w:ascii="Times New Roman" w:hAnsi="Times New Roman" w:cs="Times New Roman"/>
          <w:b/>
          <w:sz w:val="24"/>
          <w:szCs w:val="24"/>
        </w:rPr>
        <w:t>A CRITICAL EXAMINATION OF THE BILL OF SALE LAW OF LAGOS STATE</w:t>
      </w:r>
    </w:p>
    <w:p w:rsidR="00473E89" w:rsidRPr="006A7EFD" w:rsidRDefault="00473E89" w:rsidP="00473E89">
      <w:pPr>
        <w:jc w:val="center"/>
        <w:rPr>
          <w:rFonts w:ascii="Times New Roman" w:hAnsi="Times New Roman" w:cs="Times New Roman"/>
          <w:b/>
          <w:sz w:val="24"/>
          <w:szCs w:val="24"/>
        </w:rPr>
      </w:pPr>
    </w:p>
    <w:p w:rsidR="00473E89" w:rsidRDefault="00473E89" w:rsidP="00473E89">
      <w:pPr>
        <w:spacing w:after="5"/>
        <w:ind w:left="10" w:right="3" w:hanging="10"/>
        <w:jc w:val="center"/>
        <w:rPr>
          <w:rFonts w:ascii="Times New Roman" w:hAnsi="Times New Roman" w:cs="Times New Roman"/>
          <w:b/>
          <w:color w:val="000000"/>
          <w:sz w:val="24"/>
          <w:szCs w:val="24"/>
        </w:rPr>
      </w:pPr>
      <w:r w:rsidRPr="00331CE3">
        <w:rPr>
          <w:rFonts w:ascii="Times New Roman" w:hAnsi="Times New Roman" w:cs="Times New Roman"/>
          <w:color w:val="000000"/>
          <w:sz w:val="24"/>
          <w:szCs w:val="24"/>
        </w:rPr>
        <w:t>Amadi</w:t>
      </w:r>
      <w:r>
        <w:rPr>
          <w:rFonts w:ascii="Times New Roman" w:hAnsi="Times New Roman" w:cs="Times New Roman"/>
          <w:color w:val="000000"/>
          <w:sz w:val="24"/>
          <w:szCs w:val="24"/>
        </w:rPr>
        <w:t>,</w:t>
      </w:r>
      <w:r w:rsidRPr="00331CE3">
        <w:rPr>
          <w:rFonts w:ascii="Times New Roman" w:hAnsi="Times New Roman" w:cs="Times New Roman"/>
          <w:color w:val="000000"/>
          <w:sz w:val="24"/>
          <w:szCs w:val="24"/>
        </w:rPr>
        <w:t xml:space="preserve"> Williams Chiamaka</w:t>
      </w:r>
      <w:r>
        <w:rPr>
          <w:rFonts w:ascii="Times New Roman" w:hAnsi="Times New Roman" w:cs="Times New Roman"/>
          <w:b/>
          <w:color w:val="000000"/>
          <w:sz w:val="24"/>
          <w:szCs w:val="24"/>
        </w:rPr>
        <w:t xml:space="preserve"> *</w:t>
      </w:r>
    </w:p>
    <w:p w:rsidR="00473E89" w:rsidRDefault="00473E89" w:rsidP="00473E89">
      <w:pPr>
        <w:spacing w:after="5"/>
        <w:ind w:left="10" w:right="3" w:hanging="10"/>
        <w:jc w:val="center"/>
        <w:rPr>
          <w:rFonts w:ascii="Times New Roman" w:hAnsi="Times New Roman" w:cs="Times New Roman"/>
          <w:b/>
          <w:color w:val="000000"/>
          <w:sz w:val="24"/>
          <w:szCs w:val="24"/>
        </w:rPr>
      </w:pPr>
      <w:r w:rsidRPr="00331CE3">
        <w:rPr>
          <w:rFonts w:ascii="Times New Roman" w:hAnsi="Times New Roman" w:cs="Times New Roman"/>
          <w:color w:val="000000"/>
          <w:sz w:val="24"/>
          <w:szCs w:val="24"/>
        </w:rPr>
        <w:t>Owuru</w:t>
      </w:r>
      <w:r>
        <w:rPr>
          <w:rFonts w:ascii="Times New Roman" w:hAnsi="Times New Roman" w:cs="Times New Roman"/>
          <w:color w:val="000000"/>
          <w:sz w:val="24"/>
          <w:szCs w:val="24"/>
        </w:rPr>
        <w:t>,</w:t>
      </w:r>
      <w:r w:rsidRPr="00331CE3">
        <w:rPr>
          <w:rFonts w:ascii="Times New Roman" w:hAnsi="Times New Roman" w:cs="Times New Roman"/>
          <w:color w:val="000000"/>
          <w:sz w:val="24"/>
          <w:szCs w:val="24"/>
        </w:rPr>
        <w:t xml:space="preserve"> Fyneface Chile</w:t>
      </w:r>
      <w:r w:rsidRPr="006A7EFD">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p>
    <w:p w:rsidR="00473E89" w:rsidRPr="006A7EFD" w:rsidRDefault="00473E89" w:rsidP="00473E89">
      <w:pPr>
        <w:spacing w:after="5"/>
        <w:ind w:left="10" w:right="3" w:hanging="10"/>
        <w:jc w:val="center"/>
        <w:rPr>
          <w:rFonts w:ascii="Times New Roman" w:hAnsi="Times New Roman" w:cs="Times New Roman"/>
          <w:b/>
          <w:color w:val="000000"/>
          <w:sz w:val="24"/>
          <w:szCs w:val="24"/>
        </w:rPr>
      </w:pPr>
      <w:r w:rsidRPr="00331CE3">
        <w:rPr>
          <w:rFonts w:ascii="Times New Roman" w:hAnsi="Times New Roman" w:cs="Times New Roman"/>
          <w:color w:val="000000"/>
          <w:sz w:val="24"/>
          <w:szCs w:val="24"/>
        </w:rPr>
        <w:t>Agbirigba</w:t>
      </w:r>
      <w:r>
        <w:rPr>
          <w:rFonts w:ascii="Times New Roman" w:hAnsi="Times New Roman" w:cs="Times New Roman"/>
          <w:color w:val="000000"/>
          <w:sz w:val="24"/>
          <w:szCs w:val="24"/>
        </w:rPr>
        <w:t>,</w:t>
      </w:r>
      <w:r w:rsidRPr="00331CE3">
        <w:rPr>
          <w:rFonts w:ascii="Times New Roman" w:hAnsi="Times New Roman" w:cs="Times New Roman"/>
          <w:color w:val="000000"/>
          <w:sz w:val="24"/>
          <w:szCs w:val="24"/>
        </w:rPr>
        <w:t xml:space="preserve"> Chinyere</w:t>
      </w:r>
      <w:r w:rsidRPr="006A7EFD">
        <w:rPr>
          <w:rFonts w:ascii="Times New Roman" w:hAnsi="Times New Roman" w:cs="Times New Roman"/>
          <w:b/>
          <w:color w:val="000000"/>
          <w:sz w:val="24"/>
          <w:szCs w:val="24"/>
        </w:rPr>
        <w:t xml:space="preserve"> ***</w:t>
      </w:r>
    </w:p>
    <w:p w:rsidR="00473E89" w:rsidRPr="006A7EFD" w:rsidRDefault="00473E89" w:rsidP="00473E89">
      <w:pPr>
        <w:rPr>
          <w:rFonts w:ascii="Times New Roman" w:hAnsi="Times New Roman" w:cs="Times New Roman"/>
          <w:sz w:val="24"/>
          <w:szCs w:val="24"/>
        </w:rPr>
      </w:pPr>
    </w:p>
    <w:p w:rsidR="00473E89" w:rsidRPr="006A7EFD" w:rsidRDefault="00473E89" w:rsidP="00473E89">
      <w:pPr>
        <w:rPr>
          <w:rFonts w:ascii="Times New Roman" w:hAnsi="Times New Roman" w:cs="Times New Roman"/>
          <w:sz w:val="24"/>
          <w:szCs w:val="24"/>
        </w:rPr>
      </w:pPr>
    </w:p>
    <w:p w:rsidR="00473E89" w:rsidRPr="006A7EFD" w:rsidRDefault="00473E89" w:rsidP="00473E89">
      <w:pPr>
        <w:rPr>
          <w:rFonts w:ascii="Times New Roman" w:hAnsi="Times New Roman" w:cs="Times New Roman"/>
          <w:b/>
          <w:sz w:val="24"/>
          <w:szCs w:val="24"/>
        </w:rPr>
      </w:pPr>
      <w:r w:rsidRPr="006A7EFD">
        <w:rPr>
          <w:rFonts w:ascii="Times New Roman" w:hAnsi="Times New Roman" w:cs="Times New Roman"/>
          <w:b/>
          <w:sz w:val="24"/>
          <w:szCs w:val="24"/>
        </w:rPr>
        <w:t>ABSTRACT</w:t>
      </w:r>
    </w:p>
    <w:p w:rsidR="00473E89" w:rsidRPr="00331CE3" w:rsidRDefault="00473E89" w:rsidP="00473E89">
      <w:pPr>
        <w:ind w:left="850" w:right="850"/>
        <w:jc w:val="both"/>
        <w:rPr>
          <w:rFonts w:ascii="Times New Roman" w:hAnsi="Times New Roman" w:cs="Times New Roman"/>
          <w:sz w:val="20"/>
          <w:szCs w:val="20"/>
        </w:rPr>
      </w:pPr>
      <w:r w:rsidRPr="00331CE3">
        <w:rPr>
          <w:rFonts w:ascii="Times New Roman" w:hAnsi="Times New Roman" w:cs="Times New Roman"/>
          <w:sz w:val="20"/>
          <w:szCs w:val="20"/>
        </w:rPr>
        <w:t>This article underscores the necessity for a transformation in Nigeria's secured credit system, particularly concerning bills of sale legislation. The current bills of sale legislation in Nigeria is criticized for being outdated, poorly constructed, and one of the less-utilized commercial laws in the nation. Through the use of the doctrinal form of research, this article advocates for either the elimination of the bill of sale or its overhaul to enhance effectiveness. Key suggestions include updating langua</w:t>
      </w:r>
      <w:bookmarkStart w:id="0" w:name="_GoBack"/>
      <w:bookmarkEnd w:id="0"/>
      <w:r w:rsidRPr="00331CE3">
        <w:rPr>
          <w:rFonts w:ascii="Times New Roman" w:hAnsi="Times New Roman" w:cs="Times New Roman"/>
          <w:sz w:val="20"/>
          <w:szCs w:val="20"/>
        </w:rPr>
        <w:t>ge by replacing o</w:t>
      </w:r>
      <w:r>
        <w:rPr>
          <w:rFonts w:ascii="Times New Roman" w:hAnsi="Times New Roman" w:cs="Times New Roman"/>
          <w:sz w:val="20"/>
          <w:szCs w:val="20"/>
        </w:rPr>
        <w:t>bsolete terms like ‘</w:t>
      </w:r>
      <w:r w:rsidRPr="00331CE3">
        <w:rPr>
          <w:rFonts w:ascii="Times New Roman" w:hAnsi="Times New Roman" w:cs="Times New Roman"/>
          <w:sz w:val="20"/>
          <w:szCs w:val="20"/>
        </w:rPr>
        <w:t>personal chattels</w:t>
      </w:r>
      <w:r>
        <w:rPr>
          <w:rFonts w:ascii="Times New Roman" w:hAnsi="Times New Roman" w:cs="Times New Roman"/>
          <w:sz w:val="20"/>
          <w:szCs w:val="20"/>
        </w:rPr>
        <w:t>’</w:t>
      </w:r>
      <w:r w:rsidRPr="00331CE3">
        <w:rPr>
          <w:rFonts w:ascii="Times New Roman" w:hAnsi="Times New Roman" w:cs="Times New Roman"/>
          <w:sz w:val="20"/>
          <w:szCs w:val="20"/>
        </w:rPr>
        <w:t xml:space="preserve"> with more contemporary terms such as </w:t>
      </w:r>
      <w:r>
        <w:rPr>
          <w:rFonts w:ascii="Times New Roman" w:hAnsi="Times New Roman" w:cs="Times New Roman"/>
          <w:sz w:val="20"/>
          <w:szCs w:val="20"/>
        </w:rPr>
        <w:t>‘</w:t>
      </w:r>
      <w:r w:rsidRPr="00331CE3">
        <w:rPr>
          <w:rFonts w:ascii="Times New Roman" w:hAnsi="Times New Roman" w:cs="Times New Roman"/>
          <w:sz w:val="20"/>
          <w:szCs w:val="20"/>
        </w:rPr>
        <w:t>commodities</w:t>
      </w:r>
      <w:r>
        <w:rPr>
          <w:rFonts w:ascii="Times New Roman" w:hAnsi="Times New Roman" w:cs="Times New Roman"/>
          <w:sz w:val="20"/>
          <w:szCs w:val="20"/>
        </w:rPr>
        <w:t>’ or ‘</w:t>
      </w:r>
      <w:r w:rsidRPr="00331CE3">
        <w:rPr>
          <w:rFonts w:ascii="Times New Roman" w:hAnsi="Times New Roman" w:cs="Times New Roman"/>
          <w:sz w:val="20"/>
          <w:szCs w:val="20"/>
        </w:rPr>
        <w:t>merchandise</w:t>
      </w:r>
      <w:r>
        <w:rPr>
          <w:rFonts w:ascii="Times New Roman" w:hAnsi="Times New Roman" w:cs="Times New Roman"/>
          <w:sz w:val="20"/>
          <w:szCs w:val="20"/>
        </w:rPr>
        <w:t>’</w:t>
      </w:r>
      <w:r w:rsidRPr="00331CE3">
        <w:rPr>
          <w:rFonts w:ascii="Times New Roman" w:hAnsi="Times New Roman" w:cs="Times New Roman"/>
          <w:sz w:val="20"/>
          <w:szCs w:val="20"/>
        </w:rPr>
        <w:t>. Furthermore, this article recommends for training programs, especially for individuals in the mercantile industry, to improve comprehension of bill of sale transactions. A national awareness initiative is also recommended to inform the public about the intricacies and registration procedures associated with bill of sale transactions.</w:t>
      </w:r>
    </w:p>
    <w:p w:rsidR="00473E89" w:rsidRPr="00657DDF" w:rsidRDefault="00473E89" w:rsidP="00473E89">
      <w:pPr>
        <w:spacing w:line="360" w:lineRule="auto"/>
        <w:jc w:val="both"/>
        <w:rPr>
          <w:rFonts w:ascii="Times New Roman" w:hAnsi="Times New Roman" w:cs="Times New Roman"/>
          <w:b/>
          <w:sz w:val="18"/>
          <w:szCs w:val="24"/>
        </w:rPr>
      </w:pPr>
    </w:p>
    <w:p w:rsidR="00473E89" w:rsidRPr="00657DDF"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b/>
          <w:sz w:val="24"/>
          <w:szCs w:val="24"/>
        </w:rPr>
        <w:t>Keywords</w:t>
      </w:r>
      <w:r w:rsidRPr="006A7EFD">
        <w:rPr>
          <w:rFonts w:ascii="Times New Roman" w:hAnsi="Times New Roman" w:cs="Times New Roman"/>
          <w:sz w:val="24"/>
          <w:szCs w:val="24"/>
        </w:rPr>
        <w:t>: Bill of sale, security</w:t>
      </w:r>
      <w:r>
        <w:rPr>
          <w:rFonts w:ascii="Times New Roman" w:hAnsi="Times New Roman" w:cs="Times New Roman"/>
          <w:sz w:val="24"/>
          <w:szCs w:val="24"/>
        </w:rPr>
        <w:t>, chattel mortgage, bankruptcy.</w:t>
      </w:r>
    </w:p>
    <w:p w:rsidR="00473E89" w:rsidRPr="006A7EFD" w:rsidRDefault="00473E89" w:rsidP="00473E89">
      <w:pPr>
        <w:rPr>
          <w:rFonts w:ascii="Times New Roman" w:hAnsi="Times New Roman" w:cs="Times New Roman"/>
          <w:sz w:val="24"/>
          <w:szCs w:val="24"/>
        </w:rPr>
      </w:pPr>
    </w:p>
    <w:p w:rsidR="00473E89" w:rsidRPr="006A7EFD" w:rsidRDefault="00473E89" w:rsidP="00473E89">
      <w:pPr>
        <w:spacing w:line="360" w:lineRule="auto"/>
        <w:jc w:val="both"/>
        <w:rPr>
          <w:rFonts w:ascii="Times New Roman" w:hAnsi="Times New Roman" w:cs="Times New Roman"/>
          <w:b/>
          <w:sz w:val="24"/>
          <w:szCs w:val="24"/>
        </w:rPr>
      </w:pPr>
      <w:r w:rsidRPr="006A7EFD">
        <w:rPr>
          <w:rFonts w:ascii="Times New Roman" w:hAnsi="Times New Roman" w:cs="Times New Roman"/>
          <w:b/>
          <w:sz w:val="24"/>
          <w:szCs w:val="24"/>
        </w:rPr>
        <w:t>INTRODUCTION</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Prior to Nigeria's bills of sale legislation being passed, it was unknown what encumbered personal property stayed in the possession of the borrower for the length of the loan period. In Nigeria, the pledge was the main method of obtaining personal property as security up to the early 20th century</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
      </w:r>
      <w:r w:rsidRPr="006A7EFD">
        <w:rPr>
          <w:rFonts w:ascii="Times New Roman" w:hAnsi="Times New Roman" w:cs="Times New Roman"/>
          <w:sz w:val="24"/>
          <w:szCs w:val="24"/>
        </w:rPr>
        <w:t xml:space="preserve"> Because the pledge is a possessory security device, the lender typically assumes </w:t>
      </w:r>
      <w:r w:rsidRPr="006A7EFD">
        <w:rPr>
          <w:rFonts w:ascii="Times New Roman" w:hAnsi="Times New Roman" w:cs="Times New Roman"/>
          <w:sz w:val="24"/>
          <w:szCs w:val="24"/>
        </w:rPr>
        <w:lastRenderedPageBreak/>
        <w:t>ownership of the asset while the borrower retains ownership. The borrower frequently retains the right to redeem the pledged asset as long as payment is made, even after the redemption period has passed</w:t>
      </w:r>
      <w:r w:rsidRPr="006A7EFD">
        <w:rPr>
          <w:rFonts w:ascii="Times New Roman" w:hAnsi="Times New Roman" w:cs="Times New Roman"/>
          <w:sz w:val="24"/>
          <w:szCs w:val="24"/>
          <w:vertAlign w:val="superscript"/>
        </w:rPr>
        <w:footnoteReference w:id="2"/>
      </w:r>
      <w:r w:rsidRPr="006A7EFD">
        <w:rPr>
          <w:rFonts w:ascii="Times New Roman" w:hAnsi="Times New Roman" w:cs="Times New Roman"/>
          <w:sz w:val="24"/>
          <w:szCs w:val="24"/>
        </w:rPr>
        <w:t>. Since it allowed small company owners and farmers to secure finance for their operations, the promise of personal property was an appropriate way to obtain security. However, the value of personal property pledges has decreased due to modern economic improvements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
      </w:r>
      <w:r w:rsidRPr="006A7EFD">
        <w:rPr>
          <w:rFonts w:ascii="Times New Roman" w:hAnsi="Times New Roman" w:cs="Times New Roman"/>
          <w:sz w:val="24"/>
          <w:szCs w:val="24"/>
        </w:rPr>
        <w:t xml:space="preserve"> This is due to the fact that when ownership is passed to the lender, the borrower's use of the property is frequently restricted, which in turn tends to limit the borrower's capacity to raise funds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
      </w:r>
      <w:r w:rsidRPr="006A7EFD">
        <w:rPr>
          <w:rFonts w:ascii="Times New Roman" w:hAnsi="Times New Roman" w:cs="Times New Roman"/>
          <w:sz w:val="24"/>
          <w:szCs w:val="24"/>
        </w:rPr>
        <w:t xml:space="preserve"> Thus, it became crucial to establish a structure that would allow a borrower to keep their encumbered personal belongings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5"/>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 xml:space="preserve">In common law, the possession of collateral by a borrower was condemned as a fraudulent transfer and deemed ineffective as security against creditors and assignees unaware of the existing </w:t>
      </w:r>
      <w:r w:rsidRPr="006A7EFD">
        <w:rPr>
          <w:rFonts w:ascii="Times New Roman" w:hAnsi="Times New Roman" w:cs="Times New Roman"/>
          <w:sz w:val="24"/>
          <w:szCs w:val="24"/>
        </w:rPr>
        <w:lastRenderedPageBreak/>
        <w:t>interest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6"/>
      </w:r>
      <w:r w:rsidRPr="006A7EFD">
        <w:rPr>
          <w:rFonts w:ascii="Times New Roman" w:hAnsi="Times New Roman" w:cs="Times New Roman"/>
          <w:sz w:val="24"/>
          <w:szCs w:val="24"/>
        </w:rPr>
        <w:t xml:space="preserve"> This principle, rooted in </w:t>
      </w:r>
      <w:r w:rsidRPr="0041576F">
        <w:rPr>
          <w:rFonts w:ascii="Times New Roman" w:hAnsi="Times New Roman" w:cs="Times New Roman"/>
          <w:i/>
          <w:sz w:val="24"/>
          <w:szCs w:val="24"/>
        </w:rPr>
        <w:t>Twyne’s Case,</w:t>
      </w:r>
      <w:r w:rsidRPr="006A7EFD">
        <w:rPr>
          <w:rFonts w:ascii="Times New Roman" w:hAnsi="Times New Roman" w:cs="Times New Roman"/>
          <w:sz w:val="24"/>
          <w:szCs w:val="24"/>
          <w:vertAlign w:val="superscript"/>
        </w:rPr>
        <w:footnoteReference w:id="7"/>
      </w:r>
      <w:r w:rsidRPr="006A7EFD">
        <w:rPr>
          <w:rFonts w:ascii="Times New Roman" w:hAnsi="Times New Roman" w:cs="Times New Roman"/>
          <w:sz w:val="24"/>
          <w:szCs w:val="24"/>
        </w:rPr>
        <w:t xml:space="preserve"> posed challenges for borrowers looking to use personal property, especially business equipment and inventories, as collateral. Consequently, there arose a need for a practical security system allowing borrowers to retain encumbered personal properties during loans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8"/>
      </w:r>
      <w:r w:rsidRPr="006A7EFD">
        <w:rPr>
          <w:rFonts w:ascii="Times New Roman" w:hAnsi="Times New Roman" w:cs="Times New Roman"/>
          <w:sz w:val="24"/>
          <w:szCs w:val="24"/>
        </w:rPr>
        <w:t xml:space="preserve"> The bill of sale emerged as a solution, facilitating non-possessory security interests, notably in the form of a chattel mortgage</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9"/>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The bill of sale serves as a contractual tool for transferring personal property between parties. Two main types exist—the security bill of sale and the absolute bill of sale. The absolute bill of sale involves the outright transfer of personal property through sale or gift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0"/>
      </w:r>
      <w:r w:rsidRPr="006A7EFD">
        <w:rPr>
          <w:rFonts w:ascii="Times New Roman" w:hAnsi="Times New Roman" w:cs="Times New Roman"/>
          <w:sz w:val="24"/>
          <w:szCs w:val="24"/>
        </w:rPr>
        <w:t xml:space="preserve"> while the security</w:t>
      </w:r>
      <w:r>
        <w:rPr>
          <w:rFonts w:ascii="Times New Roman" w:hAnsi="Times New Roman" w:cs="Times New Roman"/>
          <w:sz w:val="24"/>
          <w:szCs w:val="24"/>
        </w:rPr>
        <w:t xml:space="preserve"> bill of sale, also known as a ‘</w:t>
      </w:r>
      <w:r w:rsidRPr="006A7EFD">
        <w:rPr>
          <w:rFonts w:ascii="Times New Roman" w:hAnsi="Times New Roman" w:cs="Times New Roman"/>
          <w:sz w:val="24"/>
          <w:szCs w:val="24"/>
        </w:rPr>
        <w:t>conditional bill</w:t>
      </w:r>
      <w:r>
        <w:rPr>
          <w:rFonts w:ascii="Times New Roman" w:hAnsi="Times New Roman" w:cs="Times New Roman"/>
          <w:sz w:val="24"/>
          <w:szCs w:val="24"/>
        </w:rPr>
        <w:t>’</w:t>
      </w:r>
      <w:r w:rsidRPr="006A7EFD">
        <w:rPr>
          <w:rFonts w:ascii="Times New Roman" w:hAnsi="Times New Roman" w:cs="Times New Roman"/>
          <w:sz w:val="24"/>
          <w:szCs w:val="24"/>
        </w:rPr>
        <w:t>, serves as a contractual instrument securing a debt by encumbering the borrower's personal property without the lender taking physical possession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1"/>
      </w:r>
      <w:r w:rsidRPr="006A7EFD">
        <w:rPr>
          <w:rFonts w:ascii="Times New Roman" w:hAnsi="Times New Roman" w:cs="Times New Roman"/>
          <w:sz w:val="24"/>
          <w:szCs w:val="24"/>
        </w:rPr>
        <w:t xml:space="preserve"> In a security bill of sale transaction, there is a consensual agreement, explicitly intending to secure a loan against specific goods, yet the goods remain in the possession of the borrower.</w:t>
      </w:r>
    </w:p>
    <w:p w:rsidR="00473E89"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If the lender takes possession at the agreement's start, it becomes a pledge, transferring possessory rights to the lender</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2"/>
      </w:r>
      <w:r w:rsidRPr="006A7EFD">
        <w:rPr>
          <w:rFonts w:ascii="Times New Roman" w:hAnsi="Times New Roman" w:cs="Times New Roman"/>
          <w:sz w:val="24"/>
          <w:szCs w:val="24"/>
        </w:rPr>
        <w:t xml:space="preserve"> A pledgor only intends to transfer possession without granting ownership </w:t>
      </w:r>
      <w:r w:rsidRPr="006A7EFD">
        <w:rPr>
          <w:rFonts w:ascii="Times New Roman" w:hAnsi="Times New Roman" w:cs="Times New Roman"/>
          <w:sz w:val="24"/>
          <w:szCs w:val="24"/>
        </w:rPr>
        <w:lastRenderedPageBreak/>
        <w:t>rights temporarily until the loan is repaid</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3"/>
      </w:r>
      <w:r w:rsidRPr="006A7EFD">
        <w:rPr>
          <w:rFonts w:ascii="Times New Roman" w:hAnsi="Times New Roman" w:cs="Times New Roman"/>
          <w:sz w:val="24"/>
          <w:szCs w:val="24"/>
        </w:rPr>
        <w:t xml:space="preserve"> In contrast, a security interest in a bill of sale is based on title rather than possession. However, the position of a grantee-in-possession is akin to a pledgee, particularly regarding accountability for contractual breaches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4"/>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This article focuses on security interests in chattel mortgages, specifically examining the bill of sale as a security device. The exploration considers the bill of sale's history and function, analyzes registration processes, prioritization determination, challenges related to after-acquired properties, the impact of the Bankruptcy Act 1979, the significance of the Central Bank of Nigeria (CBN) Collateral Registry Regulation 2014, and concludes with a reform recommendation.</w:t>
      </w:r>
    </w:p>
    <w:p w:rsidR="00473E89" w:rsidRPr="00F54027" w:rsidRDefault="00473E89" w:rsidP="00473E89">
      <w:pPr>
        <w:keepNext/>
        <w:keepLines/>
        <w:spacing w:line="360" w:lineRule="auto"/>
        <w:ind w:left="-5" w:hanging="10"/>
        <w:jc w:val="both"/>
        <w:rPr>
          <w:rFonts w:ascii="Times New Roman" w:hAnsi="Times New Roman" w:cs="Times New Roman"/>
          <w:b/>
          <w:color w:val="000000"/>
          <w:sz w:val="20"/>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THE BILLS OF SALE LEGISLATION IN NIGERIA</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chattel mortgage, also known as the security bill of sale, was among the earliest security instruments imported to Nigeria from the UK. In the UK, the Bills of Sale Act 1854 was the initial legislation regulating chattel mortgages, with its primary objective being the mandatory registration of security bills of sale to prevent fraudulent transactions, specifically those allowing borrowers to retain possession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5"/>
      </w:r>
      <w:r w:rsidRPr="006A7EFD">
        <w:rPr>
          <w:rFonts w:ascii="Times New Roman" w:hAnsi="Times New Roman" w:cs="Times New Roman"/>
          <w:sz w:val="24"/>
          <w:szCs w:val="24"/>
        </w:rPr>
        <w:t xml:space="preserve"> However, the Act had flaws. Lenders might rely on the contract law principle of </w:t>
      </w:r>
      <w:r w:rsidRPr="006A7EFD">
        <w:rPr>
          <w:rFonts w:ascii="Times New Roman" w:hAnsi="Times New Roman" w:cs="Times New Roman"/>
          <w:i/>
          <w:sz w:val="24"/>
          <w:szCs w:val="24"/>
        </w:rPr>
        <w:t>pacta sunt servanda</w:t>
      </w:r>
      <w:r w:rsidRPr="006A7EFD">
        <w:rPr>
          <w:rFonts w:ascii="Times New Roman" w:hAnsi="Times New Roman" w:cs="Times New Roman"/>
          <w:sz w:val="24"/>
          <w:szCs w:val="24"/>
        </w:rPr>
        <w:t>, potentially harsh on debtors unable to meet unconscionable terms. Unregistered bills of sale were not voided against subsequently registered ones, and there were no statutory rules for prioritizing competing claims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6"/>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lastRenderedPageBreak/>
        <w:t>Interestingly, the UK Bills of Sale Act 1854 was never implemented in Nigeria. Instead, the Bills of Sale Acts of 1878 and 1882, amended by the Acts of 1890 and 1891, became the governing statutes in the UK. These statutes, originally part of the received English law, were adopted in Nigeria through the Nigerian Bills of Sale Ordinance 1923. This federal law regulated the transfer and registration of personal chattels as security for debt, applying to all of Nigeria except states created from the old Western Region.</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The Bills of Sale Ordinance applied until the Bills of Sale Law 1958, specific to the Western part of Nigeria, was enacted. Presently, many states in Nigeria have re-enacted provisions of the UK Bills of Sale Acts as state laws, repealing the indigenous bills of sale legislation of 1923 and 1958. These state laws fall under the jurisdiction of state governments, and their adoption is at the discretion of each state. Despite variations among states, the laws share similarities.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For the purpose of this article, the Bills of Sale Law of Lagos State is the focal point, considering Lagos's economic significance in Nigeria</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7"/>
      </w:r>
      <w:r w:rsidRPr="006A7EFD">
        <w:rPr>
          <w:rFonts w:ascii="Times New Roman" w:hAnsi="Times New Roman" w:cs="Times New Roman"/>
          <w:sz w:val="24"/>
          <w:szCs w:val="24"/>
        </w:rPr>
        <w:t xml:space="preserve"> Lagos State has a bill of sale registry, established under the Bills of Sale Law, Laws of Lagos State 2003, operating through the Directorate of Commercial Law, created in 1987 to handle commercial transactions for the Lagos State Government and its entities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8"/>
      </w:r>
    </w:p>
    <w:p w:rsidR="00473E89" w:rsidRPr="00F54027" w:rsidRDefault="00473E89" w:rsidP="00473E89">
      <w:pPr>
        <w:keepNext/>
        <w:keepLines/>
        <w:spacing w:line="360" w:lineRule="auto"/>
        <w:ind w:left="-5" w:hanging="10"/>
        <w:jc w:val="both"/>
        <w:rPr>
          <w:rFonts w:ascii="Times New Roman" w:hAnsi="Times New Roman" w:cs="Times New Roman"/>
          <w:b/>
          <w:color w:val="000000"/>
          <w:sz w:val="20"/>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GENERAL SCOPE OF THE BILLS OF SALE LAW</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Section 3 of the B</w:t>
      </w:r>
      <w:r>
        <w:rPr>
          <w:rFonts w:ascii="Times New Roman" w:hAnsi="Times New Roman" w:cs="Times New Roman"/>
          <w:sz w:val="24"/>
          <w:szCs w:val="24"/>
        </w:rPr>
        <w:t>ills of Sale Law (BSL) defines ‘</w:t>
      </w:r>
      <w:r w:rsidRPr="006A7EFD">
        <w:rPr>
          <w:rFonts w:ascii="Times New Roman" w:hAnsi="Times New Roman" w:cs="Times New Roman"/>
          <w:sz w:val="24"/>
          <w:szCs w:val="24"/>
        </w:rPr>
        <w:t>personal chattels</w:t>
      </w:r>
      <w:r>
        <w:rPr>
          <w:rFonts w:ascii="Times New Roman" w:hAnsi="Times New Roman" w:cs="Times New Roman"/>
          <w:sz w:val="24"/>
          <w:szCs w:val="24"/>
        </w:rPr>
        <w:t>’</w:t>
      </w:r>
      <w:r w:rsidRPr="006A7EFD">
        <w:rPr>
          <w:rFonts w:ascii="Times New Roman" w:hAnsi="Times New Roman" w:cs="Times New Roman"/>
          <w:sz w:val="24"/>
          <w:szCs w:val="24"/>
        </w:rPr>
        <w:t xml:space="preserve"> to encompass furniture, goods, articles assignable through delivery, growing crops, fixtures (when separately assigned or charged), and trade machinery</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19"/>
      </w:r>
      <w:r w:rsidRPr="006A7EFD">
        <w:rPr>
          <w:rFonts w:ascii="Times New Roman" w:hAnsi="Times New Roman" w:cs="Times New Roman"/>
          <w:sz w:val="24"/>
          <w:szCs w:val="24"/>
        </w:rPr>
        <w:t xml:space="preserve"> The term </w:t>
      </w:r>
      <w:r>
        <w:rPr>
          <w:rFonts w:ascii="Times New Roman" w:hAnsi="Times New Roman" w:cs="Times New Roman"/>
          <w:sz w:val="24"/>
          <w:szCs w:val="24"/>
        </w:rPr>
        <w:t>‘</w:t>
      </w:r>
      <w:r w:rsidRPr="006A7EFD">
        <w:rPr>
          <w:rFonts w:ascii="Times New Roman" w:hAnsi="Times New Roman" w:cs="Times New Roman"/>
          <w:sz w:val="24"/>
          <w:szCs w:val="24"/>
        </w:rPr>
        <w:t>goods</w:t>
      </w:r>
      <w:r>
        <w:rPr>
          <w:rFonts w:ascii="Times New Roman" w:hAnsi="Times New Roman" w:cs="Times New Roman"/>
          <w:sz w:val="24"/>
          <w:szCs w:val="24"/>
        </w:rPr>
        <w:t>’</w:t>
      </w:r>
      <w:r w:rsidRPr="006A7EFD">
        <w:rPr>
          <w:rFonts w:ascii="Times New Roman" w:hAnsi="Times New Roman" w:cs="Times New Roman"/>
          <w:sz w:val="24"/>
          <w:szCs w:val="24"/>
        </w:rPr>
        <w:t xml:space="preserve"> lacks a precise definition in the section, but </w:t>
      </w:r>
      <w:r w:rsidRPr="006A7EFD">
        <w:rPr>
          <w:rFonts w:ascii="Times New Roman" w:hAnsi="Times New Roman" w:cs="Times New Roman"/>
          <w:sz w:val="24"/>
          <w:szCs w:val="24"/>
        </w:rPr>
        <w:lastRenderedPageBreak/>
        <w:t xml:space="preserve">following Atkin LJ's dictum in </w:t>
      </w:r>
      <w:r w:rsidRPr="006A7EFD">
        <w:rPr>
          <w:rFonts w:ascii="Times New Roman" w:hAnsi="Times New Roman" w:cs="Times New Roman"/>
          <w:i/>
          <w:sz w:val="24"/>
          <w:szCs w:val="24"/>
        </w:rPr>
        <w:t>Stephenson v Thompson</w:t>
      </w:r>
      <w:r w:rsidRPr="006A7EFD">
        <w:rPr>
          <w:rFonts w:ascii="Times New Roman" w:hAnsi="Times New Roman" w:cs="Times New Roman"/>
          <w:sz w:val="24"/>
          <w:szCs w:val="24"/>
        </w:rPr>
        <w:t xml:space="preserve">, </w:t>
      </w:r>
      <w:r>
        <w:rPr>
          <w:rFonts w:ascii="Times New Roman" w:hAnsi="Times New Roman" w:cs="Times New Roman"/>
          <w:sz w:val="24"/>
          <w:szCs w:val="24"/>
        </w:rPr>
        <w:t>‘</w:t>
      </w:r>
      <w:r w:rsidRPr="006A7EFD">
        <w:rPr>
          <w:rFonts w:ascii="Times New Roman" w:hAnsi="Times New Roman" w:cs="Times New Roman"/>
          <w:sz w:val="24"/>
          <w:szCs w:val="24"/>
        </w:rPr>
        <w:t>personal chattels</w:t>
      </w:r>
      <w:r>
        <w:rPr>
          <w:rFonts w:ascii="Times New Roman" w:hAnsi="Times New Roman" w:cs="Times New Roman"/>
          <w:sz w:val="24"/>
          <w:szCs w:val="24"/>
        </w:rPr>
        <w:t>’ and ‘</w:t>
      </w:r>
      <w:r w:rsidRPr="006A7EFD">
        <w:rPr>
          <w:rFonts w:ascii="Times New Roman" w:hAnsi="Times New Roman" w:cs="Times New Roman"/>
          <w:sz w:val="24"/>
          <w:szCs w:val="24"/>
        </w:rPr>
        <w:t>goods</w:t>
      </w:r>
      <w:r>
        <w:rPr>
          <w:rFonts w:ascii="Times New Roman" w:hAnsi="Times New Roman" w:cs="Times New Roman"/>
          <w:sz w:val="24"/>
          <w:szCs w:val="24"/>
        </w:rPr>
        <w:t>’</w:t>
      </w:r>
      <w:r w:rsidRPr="006A7EFD">
        <w:rPr>
          <w:rFonts w:ascii="Times New Roman" w:hAnsi="Times New Roman" w:cs="Times New Roman"/>
          <w:sz w:val="24"/>
          <w:szCs w:val="24"/>
        </w:rPr>
        <w:t xml:space="preserve"> may be considered synonymous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0"/>
      </w:r>
      <w:r w:rsidRPr="006A7EFD">
        <w:rPr>
          <w:rFonts w:ascii="Times New Roman" w:hAnsi="Times New Roman" w:cs="Times New Roman"/>
          <w:sz w:val="24"/>
          <w:szCs w:val="24"/>
        </w:rPr>
        <w:t xml:space="preserve"> As a result, both terms will be used interchangeably in this article. The definition of personal chattels extends to crops attached to land, regardless of whether they are natural or industrial crops at the time of executing the bill of sale.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The BSL includes a detailed list of documents deemed valid or invalid bills of sale, some of which have lost relevance in modern commercial transactions. Any document listed under Section 3 is valid as long as it serves a</w:t>
      </w:r>
      <w:r>
        <w:rPr>
          <w:rFonts w:ascii="Times New Roman" w:hAnsi="Times New Roman" w:cs="Times New Roman"/>
          <w:sz w:val="24"/>
          <w:szCs w:val="24"/>
        </w:rPr>
        <w:t xml:space="preserve"> security function. The phrase ‘</w:t>
      </w:r>
      <w:r w:rsidRPr="006A7EFD">
        <w:rPr>
          <w:rFonts w:ascii="Times New Roman" w:hAnsi="Times New Roman" w:cs="Times New Roman"/>
          <w:sz w:val="24"/>
          <w:szCs w:val="24"/>
        </w:rPr>
        <w:t xml:space="preserve">and other </w:t>
      </w:r>
      <w:r>
        <w:rPr>
          <w:rFonts w:ascii="Times New Roman" w:hAnsi="Times New Roman" w:cs="Times New Roman"/>
          <w:sz w:val="24"/>
          <w:szCs w:val="24"/>
        </w:rPr>
        <w:t>assurances of personal chattels’</w:t>
      </w:r>
      <w:r w:rsidRPr="006A7EFD">
        <w:rPr>
          <w:rFonts w:ascii="Times New Roman" w:hAnsi="Times New Roman" w:cs="Times New Roman"/>
          <w:sz w:val="24"/>
          <w:szCs w:val="24"/>
        </w:rPr>
        <w:t xml:space="preserve"> in Section 3 is inclusive of a bill of sale, but its exact scope remains unclear. It could be construed </w:t>
      </w:r>
      <w:r w:rsidRPr="003F0D97">
        <w:rPr>
          <w:rFonts w:ascii="Times New Roman" w:hAnsi="Times New Roman" w:cs="Times New Roman"/>
          <w:i/>
          <w:sz w:val="24"/>
          <w:szCs w:val="24"/>
        </w:rPr>
        <w:t>ejusdem generis</w:t>
      </w:r>
      <w:r w:rsidRPr="006A7EFD">
        <w:rPr>
          <w:rFonts w:ascii="Times New Roman" w:hAnsi="Times New Roman" w:cs="Times New Roman"/>
          <w:sz w:val="24"/>
          <w:szCs w:val="24"/>
        </w:rPr>
        <w:t>, considering the other items listed in Section 3. Notably, an equitable lien arising by operation of law is not included in this section, except for an unpaid seller's lien, arising by contractual agreement when the chattel has been ascertained</w:t>
      </w:r>
      <w:r>
        <w:rPr>
          <w:rFonts w:ascii="Times New Roman" w:hAnsi="Times New Roman" w:cs="Times New Roman"/>
          <w:sz w:val="24"/>
          <w:szCs w:val="24"/>
        </w:rPr>
        <w:t>, which could be considered an ‘</w:t>
      </w:r>
      <w:r w:rsidRPr="006A7EFD">
        <w:rPr>
          <w:rFonts w:ascii="Times New Roman" w:hAnsi="Times New Roman" w:cs="Times New Roman"/>
          <w:sz w:val="24"/>
          <w:szCs w:val="24"/>
        </w:rPr>
        <w:t>assurance</w:t>
      </w:r>
      <w:r>
        <w:rPr>
          <w:rFonts w:ascii="Times New Roman" w:hAnsi="Times New Roman" w:cs="Times New Roman"/>
          <w:sz w:val="24"/>
          <w:szCs w:val="24"/>
        </w:rPr>
        <w:t>’</w:t>
      </w:r>
      <w:r w:rsidRPr="006A7EFD">
        <w:rPr>
          <w:rFonts w:ascii="Times New Roman" w:hAnsi="Times New Roman" w:cs="Times New Roman"/>
          <w:sz w:val="24"/>
          <w:szCs w:val="24"/>
        </w:rPr>
        <w:t xml:space="preserve"> under the BSL</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1"/>
      </w:r>
    </w:p>
    <w:p w:rsidR="00473E89" w:rsidRPr="006A7EFD" w:rsidRDefault="00473E89" w:rsidP="00473E8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BSL further defines ‘</w:t>
      </w:r>
      <w:r w:rsidRPr="006A7EFD">
        <w:rPr>
          <w:rFonts w:ascii="Times New Roman" w:hAnsi="Times New Roman" w:cs="Times New Roman"/>
          <w:sz w:val="24"/>
          <w:szCs w:val="24"/>
        </w:rPr>
        <w:t>trade machinery</w:t>
      </w:r>
      <w:r>
        <w:rPr>
          <w:rFonts w:ascii="Times New Roman" w:hAnsi="Times New Roman" w:cs="Times New Roman"/>
          <w:sz w:val="24"/>
          <w:szCs w:val="24"/>
        </w:rPr>
        <w:t>’</w:t>
      </w:r>
      <w:r w:rsidRPr="006A7EFD">
        <w:rPr>
          <w:rFonts w:ascii="Times New Roman" w:hAnsi="Times New Roman" w:cs="Times New Roman"/>
          <w:sz w:val="24"/>
          <w:szCs w:val="24"/>
        </w:rPr>
        <w:t xml:space="preserve"> as personal chattels, even without a separate charge or assignment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2"/>
      </w:r>
      <w:r w:rsidRPr="006A7EFD">
        <w:rPr>
          <w:rFonts w:ascii="Times New Roman" w:hAnsi="Times New Roman" w:cs="Times New Roman"/>
          <w:sz w:val="24"/>
          <w:szCs w:val="24"/>
        </w:rPr>
        <w:t xml:space="preserve"> Trade machinery refers to machinery used in or attached to a factory or workshop, excluding fixed motor powers, fixed power machinery, pipes for steam, gas, or water, and the wiring and fittings for transmitting electricity in a factory or workshop. Fixtures, when separately assigned or charged, are categorized as personal chattels for all purposes except trade machinery, which is also considered a personal chattel despite being attached to a factory or workshop</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3"/>
      </w:r>
      <w:r w:rsidRPr="006A7EFD">
        <w:rPr>
          <w:rFonts w:ascii="Times New Roman" w:hAnsi="Times New Roman" w:cs="Times New Roman"/>
          <w:sz w:val="24"/>
          <w:szCs w:val="24"/>
        </w:rPr>
        <w:t xml:space="preserve"> An instrument will not be treated as a bill of sale</w:t>
      </w:r>
      <w:r>
        <w:rPr>
          <w:rFonts w:ascii="Times New Roman" w:hAnsi="Times New Roman" w:cs="Times New Roman"/>
          <w:sz w:val="24"/>
          <w:szCs w:val="24"/>
        </w:rPr>
        <w:t>,</w:t>
      </w:r>
      <w:r w:rsidRPr="006A7EFD">
        <w:rPr>
          <w:rFonts w:ascii="Times New Roman" w:hAnsi="Times New Roman" w:cs="Times New Roman"/>
          <w:sz w:val="24"/>
          <w:szCs w:val="24"/>
        </w:rPr>
        <w:t xml:space="preserve"> transferring trade machinery unless it explicitly indicates an intention to deal with the trade machinery as a separable personal chattel</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4"/>
      </w:r>
    </w:p>
    <w:p w:rsidR="00473E89" w:rsidRPr="00680268" w:rsidRDefault="00473E89" w:rsidP="00473E89">
      <w:pPr>
        <w:keepNext/>
        <w:keepLines/>
        <w:spacing w:after="158" w:line="360" w:lineRule="auto"/>
        <w:ind w:left="-5" w:hanging="10"/>
        <w:jc w:val="both"/>
        <w:rPr>
          <w:rFonts w:ascii="Times New Roman" w:hAnsi="Times New Roman" w:cs="Times New Roman"/>
          <w:b/>
          <w:color w:val="000000"/>
          <w:sz w:val="8"/>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Exclusions and exemptions from definition of personal chattels</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Bills of Sale Law (BSL) explicitly excludes certain categories from its scope. These exclusions encompass interests in real estate, fixtures when assigned alongside a leasehold or freehold interest in the permanently attached land or building, assignment of growing crops on land, shares or interests in government stocks or funds, property or capital of incorporated or joint-stock companies, choses in action, and stock or produce forming part of a farm or lands following the customs of the particular country, which should not be removed from the farm or land at the time of executing the bill of sale</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5"/>
      </w:r>
    </w:p>
    <w:p w:rsidR="00473E89"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To facilitate unimpeded commerce and business transactions, the BSL exempts certain transactions involving personal chattels from registration requirements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6"/>
      </w:r>
      <w:r w:rsidRPr="006A7EFD">
        <w:rPr>
          <w:rFonts w:ascii="Times New Roman" w:hAnsi="Times New Roman" w:cs="Times New Roman"/>
          <w:sz w:val="24"/>
          <w:szCs w:val="24"/>
        </w:rPr>
        <w:t xml:space="preserve"> Examples of such exempted transactions include the transfer or assignment of ships and vessels, or any share thereof; foreign bills of sale of goods; bills of lading; transfer of goods during the ordinary course of the borrower's business; warehouse keepers' certificates; warrants and orders for the delivery of goods; and any document providing evidence of possession or control of goods used in the regular course of business. Additionall</w:t>
      </w:r>
      <w:r>
        <w:rPr>
          <w:rFonts w:ascii="Times New Roman" w:hAnsi="Times New Roman" w:cs="Times New Roman"/>
          <w:sz w:val="24"/>
          <w:szCs w:val="24"/>
        </w:rPr>
        <w:t>y, marriage settlements are</w:t>
      </w:r>
      <w:r w:rsidRPr="006A7EFD">
        <w:rPr>
          <w:rFonts w:ascii="Times New Roman" w:hAnsi="Times New Roman" w:cs="Times New Roman"/>
          <w:sz w:val="24"/>
          <w:szCs w:val="24"/>
        </w:rPr>
        <w:t xml:space="preserve"> exempted from the registration requirements outlined in the BSL</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7"/>
      </w:r>
    </w:p>
    <w:p w:rsidR="00473E89" w:rsidRPr="00F54027" w:rsidRDefault="00473E89" w:rsidP="00473E89">
      <w:pPr>
        <w:spacing w:line="360" w:lineRule="auto"/>
        <w:ind w:firstLine="720"/>
        <w:jc w:val="both"/>
        <w:rPr>
          <w:rFonts w:ascii="Times New Roman" w:hAnsi="Times New Roman" w:cs="Times New Roman"/>
          <w:sz w:val="24"/>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Formal requirements of the security bill of sale</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 xml:space="preserve">The UK Bills of Sale Acts of 1878 and 1882 serve different purposes. The 1878 Act aims to protect lenders from secret assignments by borrowers who retain possession of the property. In contrast, </w:t>
      </w:r>
      <w:r w:rsidRPr="006A7EFD">
        <w:rPr>
          <w:rFonts w:ascii="Times New Roman" w:hAnsi="Times New Roman" w:cs="Times New Roman"/>
          <w:sz w:val="24"/>
          <w:szCs w:val="24"/>
        </w:rPr>
        <w:lastRenderedPageBreak/>
        <w:t>the 1882 Act is designed to prevent borrowers from entering into agreements they cannot comprehend, safeguarding them from harsh and rigid provisions indirectly. Despite their distinct objectives, the overarching goal of the Bills of Sale Law (BSL) is to protect innocent parties, especially grantors, from the complexities of bill of sale documents, while also shielding grantees and other assignees from undisclosed dispositions.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Adherence to the formal provisions of the law is crucial, as non-compliance can result in serious consequences. Section 8 of the BSL explicitly states that a bill of sale given as security for payment shall be void unless it conforms to the prescribed form in the Schedule. This requirement poses a challenge, particularly for illiterate individuals in Nigeria who may struggle to comprehend the intricate nature of bill of sale documents. The National Assembly in Nigeria has contemplated federal legislation similar to the UK Consumer Rights Act (CRA) 2015 to regulate unfair terms in consumer contracts. Regulation 7 of the proposed bill emphasizes that contract terms should be expressed in plain, readable, and intelligible language for the benefit of illiterates.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Given the BSL's purpose to protect debtors from signing complex documents, it is essential for parties to adhere to the prescribed form in the Schedule. However, this raises a dilemma: how can the objective of protecting illiterates be achieved if a bill of sale instrument is incomprehensible to the contracting parties? To address this issue, it is suggested that a provision similar to Section 69(1) of the CRA 2015 should be considered. This provision states that, in case of ambiguity, the interpretation most favorable to the consumer prevails. Implementing a comparable provision could enhance the effectiveness of the bill of sale as a security device. Nonetheless, awareness and understanding of such remedies by a grantor remain challenges, even if provided in a separate statute.</w:t>
      </w:r>
    </w:p>
    <w:p w:rsidR="00473E89" w:rsidRDefault="00473E89" w:rsidP="00473E89">
      <w:pPr>
        <w:keepNext/>
        <w:keepLines/>
        <w:spacing w:line="360" w:lineRule="auto"/>
        <w:ind w:left="-5" w:hanging="10"/>
        <w:jc w:val="both"/>
        <w:rPr>
          <w:rFonts w:ascii="Times New Roman" w:hAnsi="Times New Roman" w:cs="Times New Roman"/>
          <w:b/>
          <w:color w:val="000000"/>
          <w:sz w:val="24"/>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Execution and registration of a security bill of sale</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 xml:space="preserve">The UK Bills of Sale Act 1882 stipulates that every security bill of sale should be attested by one or more credible witnesses, repealing the previous requirement in the principal Act (UK Bills of </w:t>
      </w:r>
      <w:r w:rsidRPr="006A7EFD">
        <w:rPr>
          <w:rFonts w:ascii="Times New Roman" w:hAnsi="Times New Roman" w:cs="Times New Roman"/>
          <w:sz w:val="24"/>
          <w:szCs w:val="24"/>
        </w:rPr>
        <w:lastRenderedPageBreak/>
        <w:t>Sale Act 1878), which mandated attestation by a solicitor of the Supreme Court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8"/>
      </w:r>
      <w:r w:rsidRPr="006A7EFD">
        <w:rPr>
          <w:rFonts w:ascii="Times New Roman" w:hAnsi="Times New Roman" w:cs="Times New Roman"/>
          <w:sz w:val="24"/>
          <w:szCs w:val="24"/>
        </w:rPr>
        <w:t xml:space="preserve"> Similarly, in Nigeria, a security bill of sale must be attested</w:t>
      </w:r>
      <w:r>
        <w:rPr>
          <w:rFonts w:ascii="Times New Roman" w:hAnsi="Times New Roman" w:cs="Times New Roman"/>
          <w:sz w:val="24"/>
          <w:szCs w:val="24"/>
        </w:rPr>
        <w:t xml:space="preserve"> to</w:t>
      </w:r>
      <w:r w:rsidRPr="006A7EFD">
        <w:rPr>
          <w:rFonts w:ascii="Times New Roman" w:hAnsi="Times New Roman" w:cs="Times New Roman"/>
          <w:sz w:val="24"/>
          <w:szCs w:val="24"/>
        </w:rPr>
        <w:t xml:space="preserve"> by one or more credible witnesses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29"/>
      </w:r>
      <w:r w:rsidRPr="006A7EFD">
        <w:rPr>
          <w:rFonts w:ascii="Times New Roman" w:hAnsi="Times New Roman" w:cs="Times New Roman"/>
          <w:sz w:val="24"/>
          <w:szCs w:val="24"/>
        </w:rPr>
        <w:t xml:space="preserve"> The attesting witness is then required to swear an affidavit of due execution. This affidavit, along with an original copy of the bill, must be filed within seven days, and the original copy should be submitted to the bill of sale registry</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0"/>
      </w:r>
      <w:r w:rsidRPr="006A7EFD">
        <w:rPr>
          <w:rFonts w:ascii="Times New Roman" w:hAnsi="Times New Roman" w:cs="Times New Roman"/>
          <w:sz w:val="24"/>
          <w:szCs w:val="24"/>
        </w:rPr>
        <w:t xml:space="preserve"> The bill of sale must detail the consideration for which it was advanced, describe the residence and occupation of the parties, and specify the type of goods encumbered</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1"/>
      </w:r>
      <w:r w:rsidRPr="006A7EFD">
        <w:rPr>
          <w:rFonts w:ascii="Times New Roman" w:hAnsi="Times New Roman" w:cs="Times New Roman"/>
          <w:sz w:val="24"/>
          <w:szCs w:val="24"/>
        </w:rPr>
        <w:t xml:space="preserve"> These stringent requirements reflect that the process of securing a loan through a bill of sale is not transaction-friendly.</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To address the risk of presenting false wealth and the absence of a method for confirming the existence of encumbered property, registration of a security bill of sale has become mandatory. Registration provides creditors and third parties with certainty regarding existing security interests. In the absence of a designated bills of sale registry, the Registrar of the High Court is responsible for registering bills of sale at the State High Court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2"/>
      </w:r>
      <w:r w:rsidRPr="006A7EFD">
        <w:rPr>
          <w:rFonts w:ascii="Times New Roman" w:hAnsi="Times New Roman" w:cs="Times New Roman"/>
          <w:sz w:val="24"/>
          <w:szCs w:val="24"/>
        </w:rPr>
        <w:t xml:space="preserve"> The security bill of sale needs to be executed and registered using its prescribed form. The registrar enters registration particulars, including the date of registration, affidavit of renewal when applicable, and the names, residences, and descriptions of the witnesses, grantor, and grantee</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3"/>
      </w:r>
      <w:r w:rsidRPr="006A7EFD">
        <w:rPr>
          <w:rFonts w:ascii="Times New Roman" w:hAnsi="Times New Roman" w:cs="Times New Roman"/>
          <w:sz w:val="24"/>
          <w:szCs w:val="24"/>
        </w:rPr>
        <w:t xml:space="preserve"> Registration is valid for five years and becomes void unless renewed through an affidavit with the registrar. A bill of sale won't be void </w:t>
      </w:r>
      <w:r w:rsidRPr="006A7EFD">
        <w:rPr>
          <w:rFonts w:ascii="Times New Roman" w:hAnsi="Times New Roman" w:cs="Times New Roman"/>
          <w:sz w:val="24"/>
          <w:szCs w:val="24"/>
        </w:rPr>
        <w:lastRenderedPageBreak/>
        <w:t>for late registration if the delay is due to the registry's fault after submitting registration particulars within seven days.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In the case of multiple bills of sale for the same personal chattel, priority is determined by their registration dates. A registered security bill takes precedence over an earlier unregistered one. An unregistered absolute bill of sale takes priority over a subsequent security bill, as it transfers ownership title. Registration rules vary based on the grantor's legal personality; if granted by a company, registration occurs at the Corporate Affairs Commission (CAC) as an enterprise charge under the Companies and Allied Matters Act (CAMA) 1990.</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However, the existence of multiple bills of sale registries in one country, as in Nigeria, poses challenges. For instance, properties in different states might not be discovered if the assignee searches only in one state's registry. The Bills of Sale Law (BSL) mandates the registrar to transmit a copy of the bill of sale to a magistrate in another location where the collateral is situated. The current system faces significant challenges, emphasizing the need for a national law to harmonize all bills of sale registries and enhance the security device for lenders and third-party assignees. The current situation with different bills of sale registries in Nigeria lacks justification and requires a comprehensive overhaul.</w:t>
      </w:r>
    </w:p>
    <w:p w:rsidR="00473E89" w:rsidRPr="00F54027" w:rsidRDefault="00473E89" w:rsidP="00473E89">
      <w:pPr>
        <w:keepNext/>
        <w:keepLines/>
        <w:spacing w:after="159" w:line="360" w:lineRule="auto"/>
        <w:ind w:left="-5" w:hanging="10"/>
        <w:jc w:val="both"/>
        <w:rPr>
          <w:rFonts w:ascii="Times New Roman" w:hAnsi="Times New Roman" w:cs="Times New Roman"/>
          <w:b/>
          <w:color w:val="000000"/>
          <w:sz w:val="4"/>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The grante</w:t>
      </w:r>
      <w:r>
        <w:rPr>
          <w:rFonts w:ascii="Times New Roman" w:hAnsi="Times New Roman" w:cs="Times New Roman"/>
          <w:b/>
          <w:color w:val="000000"/>
          <w:sz w:val="24"/>
          <w:szCs w:val="24"/>
        </w:rPr>
        <w:t>e’s remedy and the mirage of a ‘</w:t>
      </w:r>
      <w:r w:rsidRPr="006A7EFD">
        <w:rPr>
          <w:rFonts w:ascii="Times New Roman" w:hAnsi="Times New Roman" w:cs="Times New Roman"/>
          <w:b/>
          <w:color w:val="000000"/>
          <w:sz w:val="24"/>
          <w:szCs w:val="24"/>
        </w:rPr>
        <w:t>grantee in possession</w:t>
      </w:r>
      <w:r>
        <w:rPr>
          <w:rFonts w:ascii="Times New Roman" w:hAnsi="Times New Roman" w:cs="Times New Roman"/>
          <w:b/>
          <w:color w:val="000000"/>
          <w:sz w:val="24"/>
          <w:szCs w:val="24"/>
        </w:rPr>
        <w:t>’</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In cases of statutory breaches, there are viable remedies available to the grantee that can be enforced</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4"/>
      </w:r>
      <w:r w:rsidRPr="006A7EFD">
        <w:rPr>
          <w:rFonts w:ascii="Times New Roman" w:hAnsi="Times New Roman" w:cs="Times New Roman"/>
          <w:sz w:val="24"/>
          <w:szCs w:val="24"/>
        </w:rPr>
        <w:t xml:space="preserve"> Breaches may take the form of the grantor's default in periodic payments or the failure to perform an obligation or covenant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5"/>
      </w:r>
      <w:r w:rsidRPr="006A7EFD">
        <w:rPr>
          <w:rFonts w:ascii="Times New Roman" w:hAnsi="Times New Roman" w:cs="Times New Roman"/>
          <w:sz w:val="24"/>
          <w:szCs w:val="24"/>
        </w:rPr>
        <w:t xml:space="preserve"> The grantee has the right to enforce remedies in various situations, such as the grantor's bankruptcy, unauthorized removal of goods, failure to remit </w:t>
      </w:r>
      <w:r w:rsidRPr="006A7EFD">
        <w:rPr>
          <w:rFonts w:ascii="Times New Roman" w:hAnsi="Times New Roman" w:cs="Times New Roman"/>
          <w:sz w:val="24"/>
          <w:szCs w:val="24"/>
        </w:rPr>
        <w:lastRenderedPageBreak/>
        <w:t>receipts and rates, and execution levied against the goods under a court judgment</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6"/>
      </w:r>
      <w:r w:rsidRPr="006A7EFD">
        <w:rPr>
          <w:rFonts w:ascii="Times New Roman" w:hAnsi="Times New Roman" w:cs="Times New Roman"/>
          <w:sz w:val="24"/>
          <w:szCs w:val="24"/>
        </w:rPr>
        <w:t xml:space="preserve"> To take possession of the property, the grantee must seek a court order allowing removal of the property in the grantor's possession.</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Once the collateral is seized, it cannot be sold or removed from the premises until after five days. During this period, the grantor has the opportunity to redeem the chattel by paying the agreed sum along with any additional costs and applicable interest. This provision allows the grantor a window of opportunity to redeem the collateral even after the initial agreed time has lapsed, a protection that the grantor may be unaware of.</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 xml:space="preserve">As the grantor remains in possession during these five days, the grantee must take steps to advertise their title, publicize their interest, or take controlling possession immediately after the chattels have been seized. This is crucial to protect the grantee's interest in case the grantor becomes insolvent. The rule in the case of </w:t>
      </w:r>
      <w:r w:rsidRPr="006A7EFD">
        <w:rPr>
          <w:rFonts w:ascii="Times New Roman" w:hAnsi="Times New Roman" w:cs="Times New Roman"/>
          <w:i/>
          <w:sz w:val="24"/>
          <w:szCs w:val="24"/>
        </w:rPr>
        <w:t>Dearle v Hall</w:t>
      </w:r>
      <w:r w:rsidRPr="006A7EFD">
        <w:rPr>
          <w:rFonts w:ascii="Times New Roman" w:hAnsi="Times New Roman" w:cs="Times New Roman"/>
          <w:i/>
          <w:sz w:val="24"/>
          <w:szCs w:val="24"/>
          <w:vertAlign w:val="superscript"/>
        </w:rPr>
        <w:footnoteReference w:id="37"/>
      </w:r>
      <w:r w:rsidRPr="006A7EFD">
        <w:rPr>
          <w:rFonts w:ascii="Times New Roman" w:hAnsi="Times New Roman" w:cs="Times New Roman"/>
          <w:sz w:val="24"/>
          <w:szCs w:val="24"/>
        </w:rPr>
        <w:t xml:space="preserve"> supports this argument, stating that a trustee with no notice of an assignment will be postponed to a subsequent assignee who provides notice, provided the assignee giving notice was unaware of any competing claims at the time of the assignment. Failure to provide notice during this period could allow a third-party assignee to take the property free from the mortgage.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If the collateral has been temporarily transferred to the grantee in constructive possession and is not within the seized premises, the five-day redemption rule may not be relevant for taking possession. In such cases, a fundamental breach of agreement while the grantee remains in constructive possession may render the assignment or sale void</w:t>
      </w:r>
      <w:r w:rsidRPr="006A7EFD">
        <w:rPr>
          <w:rFonts w:ascii="Times New Roman" w:hAnsi="Times New Roman" w:cs="Times New Roman"/>
          <w:i/>
          <w:sz w:val="24"/>
          <w:szCs w:val="24"/>
        </w:rPr>
        <w:t xml:space="preserve"> ab initio</w:t>
      </w:r>
      <w:r w:rsidRPr="006A7EFD">
        <w:rPr>
          <w:rFonts w:ascii="Times New Roman" w:hAnsi="Times New Roman" w:cs="Times New Roman"/>
          <w:sz w:val="24"/>
          <w:szCs w:val="24"/>
        </w:rPr>
        <w:t xml:space="preserve"> if done before the expiration of five days, as required under section 13 of the Bills of Sale Law (BSL).</w:t>
      </w:r>
    </w:p>
    <w:p w:rsidR="00473E89" w:rsidRPr="00F54027" w:rsidRDefault="00473E89" w:rsidP="00473E89">
      <w:pPr>
        <w:keepNext/>
        <w:keepLines/>
        <w:spacing w:after="159" w:line="360" w:lineRule="auto"/>
        <w:ind w:left="-5" w:hanging="10"/>
        <w:jc w:val="both"/>
        <w:rPr>
          <w:rFonts w:ascii="Times New Roman" w:hAnsi="Times New Roman" w:cs="Times New Roman"/>
          <w:b/>
          <w:color w:val="000000"/>
          <w:sz w:val="10"/>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After-acquired goods and the unincorporated business</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It is well-established in legal principles that mortgages of after-acquired properties are void at common law</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8"/>
      </w:r>
      <w:r w:rsidRPr="006A7EFD">
        <w:rPr>
          <w:rFonts w:ascii="Times New Roman" w:hAnsi="Times New Roman" w:cs="Times New Roman"/>
          <w:sz w:val="24"/>
          <w:szCs w:val="24"/>
        </w:rPr>
        <w:t xml:space="preserve"> A chattel mortgage can only be created when the actual existence of the property has been ascertained during the execution of the bill of sale transaction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39"/>
      </w:r>
      <w:r w:rsidRPr="006A7EFD">
        <w:rPr>
          <w:rFonts w:ascii="Times New Roman" w:hAnsi="Times New Roman" w:cs="Times New Roman"/>
          <w:sz w:val="24"/>
          <w:szCs w:val="24"/>
        </w:rPr>
        <w:t xml:space="preserve"> However, a security assignment of growing crops is lawful if they are not transferred together with any interest in land</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0"/>
      </w:r>
      <w:r w:rsidRPr="006A7EFD">
        <w:rPr>
          <w:rFonts w:ascii="Times New Roman" w:hAnsi="Times New Roman" w:cs="Times New Roman"/>
          <w:sz w:val="24"/>
          <w:szCs w:val="24"/>
        </w:rPr>
        <w:t xml:space="preserve"> and the crops must be growing at the time the bill of sale is executed. This represents a departure from the common law principle that aims to</w:t>
      </w:r>
      <w:r>
        <w:rPr>
          <w:rFonts w:ascii="Times New Roman" w:hAnsi="Times New Roman" w:cs="Times New Roman"/>
          <w:sz w:val="24"/>
          <w:szCs w:val="24"/>
        </w:rPr>
        <w:t xml:space="preserve"> invalidate the encumbrance of ‘</w:t>
      </w:r>
      <w:r w:rsidRPr="006A7EFD">
        <w:rPr>
          <w:rFonts w:ascii="Times New Roman" w:hAnsi="Times New Roman" w:cs="Times New Roman"/>
          <w:sz w:val="24"/>
          <w:szCs w:val="24"/>
        </w:rPr>
        <w:t>potential possessio</w:t>
      </w:r>
      <w:r>
        <w:rPr>
          <w:rFonts w:ascii="Times New Roman" w:hAnsi="Times New Roman" w:cs="Times New Roman"/>
          <w:sz w:val="24"/>
          <w:szCs w:val="24"/>
        </w:rPr>
        <w:t>n of goods’</w:t>
      </w:r>
      <w:r w:rsidRPr="006A7EFD">
        <w:rPr>
          <w:rFonts w:ascii="Times New Roman" w:hAnsi="Times New Roman" w:cs="Times New Roman"/>
          <w:sz w:val="24"/>
          <w:szCs w:val="24"/>
        </w:rPr>
        <w:t xml:space="preserve"> when a farmer seeks to mortgage after-acquired properties.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Given Nigeria's status as an agrarian society, many small and medium-scale enterprises, particularly those in agriculture, may rely on crops and livestock as their primary collateral. Unfortunately, the Bills of Sale Law (BSL) prohibits the encumbrance of after-acquired goods under Section 10. The provision states that a security bill of sale shall be void, except as against the grantor, in respect of any personal chattels specifically described in the schedule that the grantor was not the true owner of at the time of executing the bill of sale.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 xml:space="preserve">However, Section 10's wording leaves certain aspects inconclusive. For example, it doesn't clarify how the provision applies to unborn offspring of livestock. It would make sense for a grantee's equitable lien over an unborn offspring to operate similarly to that of growing crops under the BSL, as long as the grantor was the owner of the livestock bearing the offspring at the time of executing the </w:t>
      </w:r>
      <w:r>
        <w:rPr>
          <w:rFonts w:ascii="Times New Roman" w:hAnsi="Times New Roman" w:cs="Times New Roman"/>
          <w:sz w:val="24"/>
          <w:szCs w:val="24"/>
        </w:rPr>
        <w:t>agreement. The principle of ‘</w:t>
      </w:r>
      <w:r w:rsidRPr="00F54027">
        <w:rPr>
          <w:rFonts w:ascii="Times New Roman" w:hAnsi="Times New Roman" w:cs="Times New Roman"/>
          <w:i/>
          <w:sz w:val="24"/>
          <w:szCs w:val="24"/>
        </w:rPr>
        <w:t>partus sequitur ventrem</w:t>
      </w:r>
      <w:r>
        <w:rPr>
          <w:rFonts w:ascii="Times New Roman" w:hAnsi="Times New Roman" w:cs="Times New Roman"/>
          <w:sz w:val="24"/>
          <w:szCs w:val="24"/>
        </w:rPr>
        <w:t>’</w:t>
      </w:r>
      <w:r w:rsidRPr="006A7EFD">
        <w:rPr>
          <w:rFonts w:ascii="Times New Roman" w:hAnsi="Times New Roman" w:cs="Times New Roman"/>
          <w:sz w:val="24"/>
          <w:szCs w:val="24"/>
        </w:rPr>
        <w:t xml:space="preserve"> — a lien over an animal automatically applying to its offspring — could potentially be applicable for attachment purposes, </w:t>
      </w:r>
      <w:r w:rsidRPr="006A7EFD">
        <w:rPr>
          <w:rFonts w:ascii="Times New Roman" w:hAnsi="Times New Roman" w:cs="Times New Roman"/>
          <w:sz w:val="24"/>
          <w:szCs w:val="24"/>
        </w:rPr>
        <w:lastRenderedPageBreak/>
        <w:t>provided the unborn offspring is recorded as a personal chattel during the execution and registration of the security bill of sale.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The limitation outlined in Section 10 essentially rejects fluctuating goods as a valid form of collateral. This peculiar nature of the provision could pose challenges for unincorporated businesses looking to borrow using after-acquired goods as collateral, potentially conflicting with modern commercial lending practices. To avoid such challenges, unincorporated businesses may need to become incorporated before a security interest can be taken over their after-acquired goods. Currently, corporate enterprises seem to be spared from the inconvenience imposed by Section 10 of the BSL.</w:t>
      </w: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The relationship between the Bankruptcy Act 1979 and security bills of sale</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enactment of the UK Bills of Sale legislation was prompted by concerns that a borrower could dispose of assets to another party while still retaining possession of those assets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1"/>
      </w:r>
      <w:r w:rsidRPr="006A7EFD">
        <w:rPr>
          <w:rFonts w:ascii="Times New Roman" w:hAnsi="Times New Roman" w:cs="Times New Roman"/>
          <w:sz w:val="24"/>
          <w:szCs w:val="24"/>
        </w:rPr>
        <w:t xml:space="preserve"> This situation could create complications, particularly when the borrower faces bankruptcy, and judgment creditors attempt to levy execution on the property, only to discover that it belongs to another person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2"/>
      </w:r>
      <w:r w:rsidRPr="006A7EFD">
        <w:rPr>
          <w:rFonts w:ascii="Times New Roman" w:hAnsi="Times New Roman" w:cs="Times New Roman"/>
          <w:sz w:val="24"/>
          <w:szCs w:val="24"/>
        </w:rPr>
        <w:t xml:space="preserve"> The UK Bills of Sale Acts, starting with the 1878 Act, aimed to address this issue by introducing the registration of assignments over personal chattels, reducing the impact of the reputed ownership rule.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In Nigeria, insolvency and liquidation of companies are regulated by the Companies and Allied Matters Act (CAMA) 1990, while bankruptcy proceedings are governed by the Bankruptcy Act (BA) 1979. Surprisingly, the Bills of Sale Law (BSL) in Nigeria lacks a provision similar to Section 20 of the UK Bills of Sale Act 1878, which protects a holder of a perfected security bill of sale against the reputed ownership rule.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lastRenderedPageBreak/>
        <w:t>Section 41(1)(c) of the BA 1979 introduces the concept of reputed ownership into Nigerian bankruptcy law. This provision protects creditors against secret transfers and hidden liens, operating when the debtor undergoes bankruptcy. Notably, the BSL does not offer protection against the reputed ownership rule as seen in the UK legislation.</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Section 45(1) of the BA 1979 extends the reputed ownership rule to book debts due to the bankrupt in the course of their trade or business. The section deems assignments of book debts void against the trustee if not registered, emphasizing the need for registration to prevent secret transfers. The 1992 amendment to Section 45(1) introduced a connection to the Bills of Sale Law, potentially widening the scope of properties deemed registrable as a security bill of sale.</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While the BSL and BA 1979 seem to align in certain aspects, there may be inconsistencies, particularly concerning the types of property acceptable as security. With the establishment of a collateral registry by the Central Bank of Nigeria (CBN) and an improved property registration system, lenders are less likely to extend credit without thoroughly investigating the true ownership of a borrower's assets. The principle of reputed ownership, borrowed from English bankruptcy law, may be considered obsolete and in need of abolition.</w:t>
      </w: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t>CBN REGULATION 2014 AND ITS EFFECT ON BILLS OF SALE LAWS</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Central Bank of Nigeria (CBN) introduced the Collateral Registry Regulation in 2014 to stimulate access to credit for small and medium-scale enterprises (SMEs)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3"/>
      </w:r>
      <w:r w:rsidRPr="006A7EFD">
        <w:rPr>
          <w:rFonts w:ascii="Times New Roman" w:hAnsi="Times New Roman" w:cs="Times New Roman"/>
          <w:sz w:val="24"/>
          <w:szCs w:val="24"/>
        </w:rPr>
        <w:t xml:space="preserve"> The regulation aims to regulate the creation, enforcement, and protection of security interests in movable property. It is designed to encourage financial institutions to accept a broader range of movable assets as collateral, establish an efficient registration scheme, and ensure transparent realization of security interests.</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lastRenderedPageBreak/>
        <w:t>The Collateral Registry Regulation, expected to become operational in 2015, broadens the pool of assets that can be used as collateral for loans, including account receivables and farm products. It applies to all security interests in movable property created by an agreement, securing payment or performance of an obligation, regardless of the form, type of movable, or nature of the secured obligation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4"/>
      </w:r>
      <w:r w:rsidRPr="006A7EFD">
        <w:rPr>
          <w:rFonts w:ascii="Times New Roman" w:hAnsi="Times New Roman" w:cs="Times New Roman"/>
          <w:sz w:val="24"/>
          <w:szCs w:val="24"/>
        </w:rPr>
        <w:t xml:space="preserve">However, there is a provision in the regulation, specifically reg.3(4)(c)(iii), which states that any interest created by an assignment, transfer, or mortgage in movable property governed by a law </w:t>
      </w:r>
      <w:r>
        <w:rPr>
          <w:rFonts w:ascii="Times New Roman" w:hAnsi="Times New Roman" w:cs="Times New Roman"/>
          <w:sz w:val="24"/>
          <w:szCs w:val="24"/>
        </w:rPr>
        <w:t>‘</w:t>
      </w:r>
      <w:r w:rsidRPr="006A7EFD">
        <w:rPr>
          <w:rFonts w:ascii="Times New Roman" w:hAnsi="Times New Roman" w:cs="Times New Roman"/>
          <w:sz w:val="24"/>
          <w:szCs w:val="24"/>
        </w:rPr>
        <w:t xml:space="preserve">for which </w:t>
      </w:r>
      <w:r>
        <w:rPr>
          <w:rFonts w:ascii="Times New Roman" w:hAnsi="Times New Roman" w:cs="Times New Roman"/>
          <w:sz w:val="24"/>
          <w:szCs w:val="24"/>
        </w:rPr>
        <w:t>a registry has been established’</w:t>
      </w:r>
      <w:r w:rsidRPr="006A7EFD">
        <w:rPr>
          <w:rFonts w:ascii="Times New Roman" w:hAnsi="Times New Roman" w:cs="Times New Roman"/>
          <w:sz w:val="24"/>
          <w:szCs w:val="24"/>
        </w:rPr>
        <w:t xml:space="preserve"> shall not be subject to this regulation</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5"/>
      </w:r>
      <w:r w:rsidRPr="006A7EFD">
        <w:rPr>
          <w:rFonts w:ascii="Times New Roman" w:hAnsi="Times New Roman" w:cs="Times New Roman"/>
          <w:sz w:val="24"/>
          <w:szCs w:val="24"/>
        </w:rPr>
        <w:t xml:space="preserve"> Unfortunately, this provision lacks clarity on the types of registries it aims to exclude, leading to uncertainty</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6"/>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uncertainty arises because there are operational bill of sale registries in some states in Nigeria. The question remains whether the Bills of Sale Law (BSL) will fall outside the scope of the Collateral Registry Regulation concerning registration and enforcement. The lack of a proper transitional provision for the scope of the CBN Regulation is seen as a drawback, and it is suggested that an administrative fiat may be needed to allow the continued use of the BSL until the collateral registry becomes fully operational.</w:t>
      </w:r>
    </w:p>
    <w:p w:rsidR="00473E89"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This uncertainty could lead to challenges and missed opportunities, and chattel mortgages in Nigeria may continue to be governed by the rigid procedures of the Bills of Sale Laws instead of the potentially more flexible CBN Regulation. The impact of this situation on financiers and debtors will only become clear once the collateral registry is fully operational.</w:t>
      </w:r>
    </w:p>
    <w:p w:rsidR="00473E89" w:rsidRPr="006A7EFD" w:rsidRDefault="00473E89" w:rsidP="00473E89">
      <w:pPr>
        <w:spacing w:line="360" w:lineRule="auto"/>
        <w:ind w:firstLine="720"/>
        <w:jc w:val="both"/>
        <w:rPr>
          <w:rFonts w:ascii="Times New Roman" w:hAnsi="Times New Roman" w:cs="Times New Roman"/>
          <w:sz w:val="24"/>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sidRPr="006A7EFD">
        <w:rPr>
          <w:rFonts w:ascii="Times New Roman" w:hAnsi="Times New Roman" w:cs="Times New Roman"/>
          <w:b/>
          <w:color w:val="000000"/>
          <w:sz w:val="24"/>
          <w:szCs w:val="24"/>
        </w:rPr>
        <w:lastRenderedPageBreak/>
        <w:t>Further criticisms of the Bills of Sale Law</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argument presented underscores the challenges and limitations associated with taking security through chattel mortgages, particularly bills of sale, in both the United Kingdom and Nigeria. The strict formal requirements and complexities of the bill of sale have raised concerns about its appropriateness for modern lending practices</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47"/>
      </w:r>
    </w:p>
    <w:p w:rsidR="00473E89"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 xml:space="preserve">In the UK, judicial criticism and reports like the </w:t>
      </w:r>
      <w:r w:rsidRPr="006A7EFD">
        <w:rPr>
          <w:rFonts w:ascii="Times New Roman" w:hAnsi="Times New Roman" w:cs="Times New Roman"/>
          <w:i/>
          <w:sz w:val="24"/>
          <w:szCs w:val="24"/>
        </w:rPr>
        <w:t>Crowther Report</w:t>
      </w:r>
      <w:r w:rsidRPr="006A7EFD">
        <w:rPr>
          <w:rFonts w:ascii="Times New Roman" w:hAnsi="Times New Roman" w:cs="Times New Roman"/>
          <w:i/>
          <w:sz w:val="24"/>
          <w:szCs w:val="24"/>
          <w:vertAlign w:val="superscript"/>
        </w:rPr>
        <w:footnoteReference w:id="48"/>
      </w:r>
      <w:r w:rsidRPr="006A7EFD">
        <w:rPr>
          <w:rFonts w:ascii="Times New Roman" w:hAnsi="Times New Roman" w:cs="Times New Roman"/>
          <w:sz w:val="24"/>
          <w:szCs w:val="24"/>
        </w:rPr>
        <w:t xml:space="preserve"> (1971) and </w:t>
      </w:r>
      <w:r w:rsidRPr="006A7EFD">
        <w:rPr>
          <w:rFonts w:ascii="Times New Roman" w:hAnsi="Times New Roman" w:cs="Times New Roman"/>
          <w:i/>
          <w:sz w:val="24"/>
          <w:szCs w:val="24"/>
        </w:rPr>
        <w:t>Diamond Report</w:t>
      </w:r>
      <w:r w:rsidRPr="006A7EFD">
        <w:rPr>
          <w:rFonts w:ascii="Times New Roman" w:hAnsi="Times New Roman" w:cs="Times New Roman"/>
          <w:i/>
          <w:sz w:val="24"/>
          <w:szCs w:val="24"/>
          <w:vertAlign w:val="superscript"/>
        </w:rPr>
        <w:footnoteReference w:id="49"/>
      </w:r>
      <w:r w:rsidRPr="006A7EFD">
        <w:rPr>
          <w:rFonts w:ascii="Times New Roman" w:hAnsi="Times New Roman" w:cs="Times New Roman"/>
          <w:sz w:val="24"/>
          <w:szCs w:val="24"/>
        </w:rPr>
        <w:t xml:space="preserve"> (1989) have called for the abolition of bills of sale legislation. The situation in Nigeria is similar, with the security bill of sale being rarely used in practice due to its association with financial distress. Borro</w:t>
      </w:r>
      <w:r>
        <w:rPr>
          <w:rFonts w:ascii="Times New Roman" w:hAnsi="Times New Roman" w:cs="Times New Roman"/>
          <w:sz w:val="24"/>
          <w:szCs w:val="24"/>
        </w:rPr>
        <w:t>wers often opt for alternative ‘</w:t>
      </w:r>
      <w:r w:rsidRPr="006A7EFD">
        <w:rPr>
          <w:rFonts w:ascii="Times New Roman" w:hAnsi="Times New Roman" w:cs="Times New Roman"/>
          <w:sz w:val="24"/>
          <w:szCs w:val="24"/>
        </w:rPr>
        <w:t>quasi-security</w:t>
      </w:r>
      <w:r>
        <w:rPr>
          <w:rFonts w:ascii="Times New Roman" w:hAnsi="Times New Roman" w:cs="Times New Roman"/>
          <w:sz w:val="24"/>
          <w:szCs w:val="24"/>
        </w:rPr>
        <w:t>’</w:t>
      </w:r>
      <w:r w:rsidRPr="006A7EFD">
        <w:rPr>
          <w:rFonts w:ascii="Times New Roman" w:hAnsi="Times New Roman" w:cs="Times New Roman"/>
          <w:sz w:val="24"/>
          <w:szCs w:val="24"/>
        </w:rPr>
        <w:t xml:space="preserve"> devices like hire purchase agreements, which fall outside the bills of sale legislation and do not require recording in the bills ofsale registry.Moreover, there are practical challenges for borrowers in identifying the types of properties that can be assigned under the bills of sale legislation. The Bills of Sale Law (BSL) applies strictly to the document (the bill of sale) and not the transaction (chattel mortgage). Verbal agreements intended to be regulated under the BSL may be defective, and the BSL's definition of personal chattels does not cover certain moveable properti</w:t>
      </w:r>
      <w:r>
        <w:rPr>
          <w:rFonts w:ascii="Times New Roman" w:hAnsi="Times New Roman" w:cs="Times New Roman"/>
          <w:sz w:val="24"/>
          <w:szCs w:val="24"/>
        </w:rPr>
        <w:t xml:space="preserve">es, such as aircraft and ships. </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Addit</w:t>
      </w:r>
      <w:r>
        <w:rPr>
          <w:rFonts w:ascii="Times New Roman" w:hAnsi="Times New Roman" w:cs="Times New Roman"/>
          <w:sz w:val="24"/>
          <w:szCs w:val="24"/>
        </w:rPr>
        <w:t>ionally, the introduction of the</w:t>
      </w:r>
      <w:r w:rsidRPr="006A7EFD">
        <w:rPr>
          <w:rFonts w:ascii="Times New Roman" w:hAnsi="Times New Roman" w:cs="Times New Roman"/>
          <w:sz w:val="24"/>
          <w:szCs w:val="24"/>
        </w:rPr>
        <w:t xml:space="preserve"> Central Bank of Nigeria</w:t>
      </w:r>
      <w:r>
        <w:rPr>
          <w:rFonts w:ascii="Times New Roman" w:hAnsi="Times New Roman" w:cs="Times New Roman"/>
          <w:sz w:val="24"/>
          <w:szCs w:val="24"/>
        </w:rPr>
        <w:t>’s</w:t>
      </w:r>
      <w:r w:rsidRPr="006A7EFD">
        <w:rPr>
          <w:rFonts w:ascii="Times New Roman" w:hAnsi="Times New Roman" w:cs="Times New Roman"/>
          <w:sz w:val="24"/>
          <w:szCs w:val="24"/>
        </w:rPr>
        <w:t xml:space="preserve"> Collateral Registry Regulation in 2014</w:t>
      </w:r>
      <w:r>
        <w:rPr>
          <w:rFonts w:ascii="Times New Roman" w:hAnsi="Times New Roman" w:cs="Times New Roman"/>
          <w:sz w:val="24"/>
          <w:szCs w:val="24"/>
        </w:rPr>
        <w:t>,</w:t>
      </w:r>
      <w:r w:rsidRPr="006A7EFD">
        <w:rPr>
          <w:rFonts w:ascii="Times New Roman" w:hAnsi="Times New Roman" w:cs="Times New Roman"/>
          <w:sz w:val="24"/>
          <w:szCs w:val="24"/>
        </w:rPr>
        <w:t xml:space="preserve"> aims to promote access to credit for SMEs by allowing a wider range of movable assets as collateral. However, there is uncertainty about the interaction between the Collateral Registry Regulation and existing bills of sale registries.</w:t>
      </w:r>
    </w:p>
    <w:p w:rsidR="00473E89"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lastRenderedPageBreak/>
        <w:t>In summary, the limitations and complexities associated with bills of sale have led to their infrequent use in practice, prompting calls for reform and a shift towards more modern and flexible security arrangements.</w:t>
      </w:r>
    </w:p>
    <w:p w:rsidR="00473E89" w:rsidRPr="006A7EFD" w:rsidRDefault="00473E89" w:rsidP="00473E89">
      <w:pPr>
        <w:spacing w:line="360" w:lineRule="auto"/>
        <w:jc w:val="both"/>
        <w:rPr>
          <w:rFonts w:ascii="Times New Roman" w:hAnsi="Times New Roman" w:cs="Times New Roman"/>
          <w:sz w:val="24"/>
          <w:szCs w:val="24"/>
        </w:rPr>
      </w:pPr>
    </w:p>
    <w:p w:rsidR="00473E89" w:rsidRPr="006A7EFD" w:rsidRDefault="00473E89" w:rsidP="00473E89">
      <w:pPr>
        <w:keepNext/>
        <w:keepLines/>
        <w:spacing w:line="360" w:lineRule="auto"/>
        <w:ind w:left="-5" w:hanging="10"/>
        <w:jc w:val="both"/>
        <w:rPr>
          <w:rFonts w:ascii="Times New Roman" w:hAnsi="Times New Roman" w:cs="Times New Roman"/>
          <w:b/>
          <w:color w:val="000000"/>
          <w:sz w:val="24"/>
          <w:szCs w:val="24"/>
        </w:rPr>
      </w:pPr>
      <w:r>
        <w:rPr>
          <w:rFonts w:ascii="Times New Roman" w:hAnsi="Times New Roman" w:cs="Times New Roman"/>
          <w:b/>
          <w:color w:val="000000"/>
          <w:sz w:val="24"/>
          <w:szCs w:val="24"/>
        </w:rPr>
        <w:t>RECOMMENDATIONS AND CONCLUSION</w:t>
      </w:r>
    </w:p>
    <w:p w:rsidR="00473E89" w:rsidRPr="006A7EFD" w:rsidRDefault="00473E89" w:rsidP="00473E89">
      <w:pPr>
        <w:spacing w:line="360" w:lineRule="auto"/>
        <w:jc w:val="both"/>
        <w:rPr>
          <w:rFonts w:ascii="Times New Roman" w:hAnsi="Times New Roman" w:cs="Times New Roman"/>
          <w:sz w:val="24"/>
          <w:szCs w:val="24"/>
        </w:rPr>
      </w:pPr>
      <w:r w:rsidRPr="006A7EFD">
        <w:rPr>
          <w:rFonts w:ascii="Times New Roman" w:hAnsi="Times New Roman" w:cs="Times New Roman"/>
          <w:sz w:val="24"/>
          <w:szCs w:val="24"/>
        </w:rPr>
        <w:t>The argument emphasizes the need for reform in Nigeria's secured credit system, especially in the context of bills of sale legislation. The current global ranking of Nigeria at</w:t>
      </w:r>
      <w:r>
        <w:rPr>
          <w:rFonts w:ascii="Times New Roman" w:hAnsi="Times New Roman" w:cs="Times New Roman"/>
          <w:sz w:val="24"/>
          <w:szCs w:val="24"/>
        </w:rPr>
        <w:t xml:space="preserve"> 52 out of 189 economies on </w:t>
      </w:r>
      <w:r w:rsidRPr="006A7EFD">
        <w:rPr>
          <w:rFonts w:ascii="Times New Roman" w:hAnsi="Times New Roman" w:cs="Times New Roman"/>
          <w:sz w:val="24"/>
          <w:szCs w:val="24"/>
        </w:rPr>
        <w:t>ease of doing business suggests that reforms in secured lending practices could enhance private investment and economic growth</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50"/>
      </w:r>
      <w:r w:rsidRPr="006A7EFD">
        <w:rPr>
          <w:rFonts w:ascii="Times New Roman" w:hAnsi="Times New Roman" w:cs="Times New Roman"/>
          <w:sz w:val="24"/>
          <w:szCs w:val="24"/>
        </w:rPr>
        <w:t xml:space="preserve"> Various international organizations, such as the United Nations Commission on International Trade Law (UNCITRAL), the European Bank for Reconstruction and Development (EBRD)</w:t>
      </w:r>
      <w:r>
        <w:rPr>
          <w:rFonts w:ascii="Times New Roman" w:hAnsi="Times New Roman" w:cs="Times New Roman"/>
          <w:sz w:val="24"/>
          <w:szCs w:val="24"/>
        </w:rPr>
        <w:t>,</w:t>
      </w:r>
      <w:r w:rsidRPr="006A7EFD">
        <w:rPr>
          <w:rFonts w:ascii="Times New Roman" w:hAnsi="Times New Roman" w:cs="Times New Roman"/>
          <w:sz w:val="24"/>
          <w:szCs w:val="24"/>
          <w:vertAlign w:val="superscript"/>
        </w:rPr>
        <w:footnoteReference w:id="51"/>
      </w:r>
      <w:r w:rsidRPr="006A7EFD">
        <w:rPr>
          <w:rFonts w:ascii="Times New Roman" w:hAnsi="Times New Roman" w:cs="Times New Roman"/>
          <w:sz w:val="24"/>
          <w:szCs w:val="24"/>
        </w:rPr>
        <w:t xml:space="preserve"> and the World Bank, have provided guidance and draft laws to support the modernization of secured lending systems globally.</w:t>
      </w:r>
    </w:p>
    <w:p w:rsidR="00473E89" w:rsidRPr="006A7EFD"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The bills of sale legislation in Nigeria is criticized as archaic, poorly drafted, and among the less-used commercial laws in the country. The argument proposes either abolishing the bill of sale or reforming it to improve its efficacy. Key recommendations include modifying language to</w:t>
      </w:r>
      <w:r>
        <w:rPr>
          <w:rFonts w:ascii="Times New Roman" w:hAnsi="Times New Roman" w:cs="Times New Roman"/>
          <w:sz w:val="24"/>
          <w:szCs w:val="24"/>
        </w:rPr>
        <w:t xml:space="preserve"> replace antiquated terms like ‘</w:t>
      </w:r>
      <w:r w:rsidRPr="006A7EFD">
        <w:rPr>
          <w:rFonts w:ascii="Times New Roman" w:hAnsi="Times New Roman" w:cs="Times New Roman"/>
          <w:sz w:val="24"/>
          <w:szCs w:val="24"/>
        </w:rPr>
        <w:t>personal chattels</w:t>
      </w:r>
      <w:r>
        <w:rPr>
          <w:rFonts w:ascii="Times New Roman" w:hAnsi="Times New Roman" w:cs="Times New Roman"/>
          <w:sz w:val="24"/>
          <w:szCs w:val="24"/>
        </w:rPr>
        <w:t>’</w:t>
      </w:r>
      <w:r w:rsidRPr="006A7EFD">
        <w:rPr>
          <w:rFonts w:ascii="Times New Roman" w:hAnsi="Times New Roman" w:cs="Times New Roman"/>
          <w:sz w:val="24"/>
          <w:szCs w:val="24"/>
        </w:rPr>
        <w:t xml:space="preserve"> with m</w:t>
      </w:r>
      <w:r>
        <w:rPr>
          <w:rFonts w:ascii="Times New Roman" w:hAnsi="Times New Roman" w:cs="Times New Roman"/>
          <w:sz w:val="24"/>
          <w:szCs w:val="24"/>
        </w:rPr>
        <w:t>ore modern terminology such as ‘</w:t>
      </w:r>
      <w:r w:rsidRPr="006A7EFD">
        <w:rPr>
          <w:rFonts w:ascii="Times New Roman" w:hAnsi="Times New Roman" w:cs="Times New Roman"/>
          <w:sz w:val="24"/>
          <w:szCs w:val="24"/>
        </w:rPr>
        <w:t>commodities</w:t>
      </w:r>
      <w:r>
        <w:rPr>
          <w:rFonts w:ascii="Times New Roman" w:hAnsi="Times New Roman" w:cs="Times New Roman"/>
          <w:sz w:val="24"/>
          <w:szCs w:val="24"/>
        </w:rPr>
        <w:t>’</w:t>
      </w:r>
      <w:r w:rsidRPr="006A7EFD">
        <w:rPr>
          <w:rFonts w:ascii="Times New Roman" w:hAnsi="Times New Roman" w:cs="Times New Roman"/>
          <w:sz w:val="24"/>
          <w:szCs w:val="24"/>
        </w:rPr>
        <w:t xml:space="preserve"> or </w:t>
      </w:r>
      <w:r>
        <w:rPr>
          <w:rFonts w:ascii="Times New Roman" w:hAnsi="Times New Roman" w:cs="Times New Roman"/>
          <w:sz w:val="24"/>
          <w:szCs w:val="24"/>
        </w:rPr>
        <w:t>‘</w:t>
      </w:r>
      <w:r w:rsidRPr="006A7EFD">
        <w:rPr>
          <w:rFonts w:ascii="Times New Roman" w:hAnsi="Times New Roman" w:cs="Times New Roman"/>
          <w:sz w:val="24"/>
          <w:szCs w:val="24"/>
        </w:rPr>
        <w:t>merchandise</w:t>
      </w:r>
      <w:r>
        <w:rPr>
          <w:rFonts w:ascii="Times New Roman" w:hAnsi="Times New Roman" w:cs="Times New Roman"/>
          <w:sz w:val="24"/>
          <w:szCs w:val="24"/>
        </w:rPr>
        <w:t>’</w:t>
      </w:r>
      <w:r w:rsidRPr="006A7EFD">
        <w:rPr>
          <w:rFonts w:ascii="Times New Roman" w:hAnsi="Times New Roman" w:cs="Times New Roman"/>
          <w:sz w:val="24"/>
          <w:szCs w:val="24"/>
        </w:rPr>
        <w:t>. Additionally, a call is made for training programs, particularly for those in the mercantile industry, to enhance understanding of bill of sale transactions. A national sensitization program is suggested to raise awareness about the complexities and registration procedures associated with bill of sale transactions.</w:t>
      </w:r>
    </w:p>
    <w:p w:rsidR="00473E89" w:rsidRDefault="00473E89" w:rsidP="00473E89">
      <w:pPr>
        <w:spacing w:line="360" w:lineRule="auto"/>
        <w:ind w:firstLine="720"/>
        <w:jc w:val="both"/>
        <w:rPr>
          <w:rFonts w:ascii="Times New Roman" w:hAnsi="Times New Roman" w:cs="Times New Roman"/>
          <w:sz w:val="24"/>
          <w:szCs w:val="24"/>
        </w:rPr>
      </w:pPr>
      <w:r w:rsidRPr="006A7EFD">
        <w:rPr>
          <w:rFonts w:ascii="Times New Roman" w:hAnsi="Times New Roman" w:cs="Times New Roman"/>
          <w:sz w:val="24"/>
          <w:szCs w:val="24"/>
        </w:rPr>
        <w:t xml:space="preserve">While acknowledging the continued importance of the security bill of sale in the lending industry, the argument foresees its potential obsolescence once the Central Bank of Nigeria's </w:t>
      </w:r>
      <w:r w:rsidRPr="006A7EFD">
        <w:rPr>
          <w:rFonts w:ascii="Times New Roman" w:hAnsi="Times New Roman" w:cs="Times New Roman"/>
          <w:sz w:val="24"/>
          <w:szCs w:val="24"/>
        </w:rPr>
        <w:lastRenderedPageBreak/>
        <w:t>Collateral Registry Regulation becomes</w:t>
      </w:r>
      <w:r>
        <w:rPr>
          <w:rFonts w:ascii="Times New Roman" w:hAnsi="Times New Roman" w:cs="Times New Roman"/>
          <w:sz w:val="24"/>
          <w:szCs w:val="24"/>
        </w:rPr>
        <w:t xml:space="preserve"> fully operational. The article</w:t>
      </w:r>
      <w:r w:rsidRPr="006A7EFD">
        <w:rPr>
          <w:rFonts w:ascii="Times New Roman" w:hAnsi="Times New Roman" w:cs="Times New Roman"/>
          <w:sz w:val="24"/>
          <w:szCs w:val="24"/>
        </w:rPr>
        <w:t xml:space="preserve"> concludes that, unless comprehensive reforms are undertaken, contesting the repeal of chattel mortgages </w:t>
      </w:r>
      <w:r>
        <w:rPr>
          <w:rFonts w:ascii="Times New Roman" w:hAnsi="Times New Roman" w:cs="Times New Roman"/>
          <w:sz w:val="24"/>
          <w:szCs w:val="24"/>
        </w:rPr>
        <w:t>in Nigeria may not be justified.</w:t>
      </w:r>
    </w:p>
    <w:p w:rsidR="005E3008" w:rsidRPr="00473E89" w:rsidRDefault="0041480C" w:rsidP="00473E89"/>
    <w:sectPr w:rsidR="005E3008" w:rsidRPr="00473E89" w:rsidSect="00F163F2">
      <w:headerReference w:type="default" r:id="rId7"/>
      <w:footerReference w:type="default" r:id="rId8"/>
      <w:pgSz w:w="12240" w:h="15840"/>
      <w:pgMar w:top="1440" w:right="1440" w:bottom="1440" w:left="1440" w:header="720" w:footer="720" w:gutter="0"/>
      <w:pgNumType w:start="26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0C" w:rsidRDefault="0041480C" w:rsidP="001E247B">
      <w:pPr>
        <w:spacing w:after="0" w:line="240" w:lineRule="auto"/>
      </w:pPr>
      <w:r>
        <w:separator/>
      </w:r>
    </w:p>
  </w:endnote>
  <w:endnote w:type="continuationSeparator" w:id="0">
    <w:p w:rsidR="0041480C" w:rsidRDefault="0041480C" w:rsidP="001E2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35047"/>
      <w:docPartObj>
        <w:docPartGallery w:val="Page Numbers (Bottom of Page)"/>
        <w:docPartUnique/>
      </w:docPartObj>
    </w:sdtPr>
    <w:sdtEndPr/>
    <w:sdtContent>
      <w:p w:rsidR="001E247B" w:rsidRDefault="0041480C">
        <w:pPr>
          <w:pStyle w:val="Footer"/>
          <w:jc w:val="center"/>
        </w:pPr>
        <w:r>
          <w:fldChar w:fldCharType="begin"/>
        </w:r>
        <w:r>
          <w:instrText xml:space="preserve"> PAGE   \* MERGEFORMAT </w:instrText>
        </w:r>
        <w:r>
          <w:fldChar w:fldCharType="separate"/>
        </w:r>
        <w:r w:rsidR="00875B26">
          <w:rPr>
            <w:noProof/>
          </w:rPr>
          <w:t>285</w:t>
        </w:r>
        <w:r>
          <w:rPr>
            <w:noProof/>
          </w:rPr>
          <w:fldChar w:fldCharType="end"/>
        </w:r>
      </w:p>
    </w:sdtContent>
  </w:sdt>
  <w:p w:rsidR="001E247B" w:rsidRDefault="001E24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0C" w:rsidRDefault="0041480C" w:rsidP="001E247B">
      <w:pPr>
        <w:spacing w:after="0" w:line="240" w:lineRule="auto"/>
      </w:pPr>
      <w:r>
        <w:separator/>
      </w:r>
    </w:p>
  </w:footnote>
  <w:footnote w:type="continuationSeparator" w:id="0">
    <w:p w:rsidR="0041480C" w:rsidRDefault="0041480C" w:rsidP="001E247B">
      <w:pPr>
        <w:spacing w:after="0" w:line="240" w:lineRule="auto"/>
      </w:pPr>
      <w:r>
        <w:continuationSeparator/>
      </w:r>
    </w:p>
  </w:footnote>
  <w:footnote w:id="1">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color w:val="000000"/>
          <w:sz w:val="20"/>
          <w:szCs w:val="20"/>
        </w:rPr>
        <w:t xml:space="preserve">* Amadi Williams Chiamaka, LLB, Madonna University Okija, LLM, Rivers state University, </w:t>
      </w:r>
      <w:hyperlink r:id="rId1">
        <w:r w:rsidRPr="00B05A0F">
          <w:rPr>
            <w:rFonts w:ascii="Times New Roman" w:hAnsi="Times New Roman" w:cs="Times New Roman"/>
            <w:color w:val="0563C1"/>
            <w:sz w:val="20"/>
            <w:szCs w:val="20"/>
            <w:u w:val="single"/>
          </w:rPr>
          <w:t>cheeamakah.ateliar90@gmail.com</w:t>
        </w:r>
      </w:hyperlink>
      <w:r w:rsidRPr="00B05A0F">
        <w:rPr>
          <w:rFonts w:ascii="Times New Roman" w:hAnsi="Times New Roman" w:cs="Times New Roman"/>
          <w:color w:val="000000"/>
          <w:sz w:val="20"/>
          <w:szCs w:val="20"/>
        </w:rPr>
        <w:t>, 08068009962.</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color w:val="000000"/>
          <w:sz w:val="20"/>
          <w:szCs w:val="20"/>
        </w:rPr>
        <w:t xml:space="preserve">** Owuru Fyneface Chile, LLB, Rivers state university, LLM, Rivers state university, </w:t>
      </w:r>
      <w:hyperlink r:id="rId2">
        <w:r w:rsidRPr="00B05A0F">
          <w:rPr>
            <w:rFonts w:ascii="Times New Roman" w:hAnsi="Times New Roman" w:cs="Times New Roman"/>
            <w:color w:val="0563C1"/>
            <w:sz w:val="20"/>
            <w:szCs w:val="20"/>
            <w:u w:val="single"/>
          </w:rPr>
          <w:t>owuruchile@gmail.com</w:t>
        </w:r>
      </w:hyperlink>
      <w:r w:rsidRPr="00B05A0F">
        <w:rPr>
          <w:rFonts w:ascii="Times New Roman" w:hAnsi="Times New Roman" w:cs="Times New Roman"/>
          <w:color w:val="000000"/>
          <w:sz w:val="20"/>
          <w:szCs w:val="20"/>
        </w:rPr>
        <w:t xml:space="preserve">, 08151554215. </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color w:val="000000"/>
          <w:sz w:val="20"/>
          <w:szCs w:val="20"/>
        </w:rPr>
        <w:t xml:space="preserve">*** Agbirigba Chinyere, LLB, Rivers state university, LLM, Rivers state university, </w:t>
      </w:r>
      <w:hyperlink r:id="rId3">
        <w:r w:rsidRPr="00B05A0F">
          <w:rPr>
            <w:rFonts w:ascii="Times New Roman" w:hAnsi="Times New Roman" w:cs="Times New Roman"/>
            <w:color w:val="0563C1"/>
            <w:sz w:val="20"/>
            <w:szCs w:val="20"/>
            <w:u w:val="single"/>
          </w:rPr>
          <w:t>chinyeredivine@gmail.com</w:t>
        </w:r>
      </w:hyperlink>
      <w:r w:rsidRPr="00B05A0F">
        <w:rPr>
          <w:rFonts w:ascii="Times New Roman" w:hAnsi="Times New Roman" w:cs="Times New Roman"/>
          <w:color w:val="000000"/>
          <w:sz w:val="20"/>
          <w:szCs w:val="20"/>
        </w:rPr>
        <w:t>, 09027088647.</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The modern pledge law in Nigeria can be traced far back to its indigenous Pawnbrokers Act 1917. Section 2 of the Act defines a pawnbroker as "every person who carries on the business of taking goods in pawn. A pawnbroker is a person whose business is to lend money usually in small sums on security of personal property deposited with him or left in pawn." This Act re-enacted the UK Pawnbrokers Act 1877.</w:t>
      </w:r>
    </w:p>
  </w:footnote>
  <w:footnote w:id="2">
    <w:p w:rsidR="00473E89" w:rsidRPr="00B05A0F" w:rsidRDefault="00473E89" w:rsidP="00473E89">
      <w:pPr>
        <w:spacing w:after="207"/>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Goode on Legal Problems of Credit and Security,</w:t>
      </w:r>
      <w:r w:rsidRPr="00B05A0F">
        <w:rPr>
          <w:rFonts w:ascii="Times New Roman" w:hAnsi="Times New Roman" w:cs="Times New Roman"/>
          <w:color w:val="000000"/>
          <w:sz w:val="20"/>
          <w:szCs w:val="20"/>
        </w:rPr>
        <w:t xml:space="preserve"> edited by Louise Gullifer,(5th edn Sweet &amp; Maxwell, 2013), para.1.47.</w:t>
      </w:r>
    </w:p>
  </w:footnote>
  <w:footnote w:id="3">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The Pawnbrokers Act 1917 will be inapplicable whenever a pledge is above the sum of 40 naira, equivalent to about 17p. Common law will become applicable and the transaction will then be classified as an English pledge if the pledge exceeds the above amount. See Imran Oluwole Smith, </w:t>
      </w:r>
      <w:r w:rsidRPr="00B05A0F">
        <w:rPr>
          <w:rFonts w:ascii="Times New Roman" w:hAnsi="Times New Roman" w:cs="Times New Roman"/>
          <w:i/>
          <w:color w:val="000000"/>
          <w:sz w:val="20"/>
          <w:szCs w:val="20"/>
        </w:rPr>
        <w:t xml:space="preserve">Nigerian Law of Secured Credit </w:t>
      </w:r>
      <w:r w:rsidRPr="00B05A0F">
        <w:rPr>
          <w:rFonts w:ascii="Times New Roman" w:hAnsi="Times New Roman" w:cs="Times New Roman"/>
          <w:color w:val="000000"/>
          <w:sz w:val="20"/>
          <w:szCs w:val="20"/>
        </w:rPr>
        <w:t>( Ecowatch Publications, 2001) 178.</w:t>
      </w:r>
    </w:p>
  </w:footnote>
  <w:footnote w:id="4">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Richard Calnan</w:t>
      </w:r>
      <w:r w:rsidRPr="00B05A0F">
        <w:rPr>
          <w:rFonts w:ascii="Times New Roman" w:hAnsi="Times New Roman" w:cs="Times New Roman"/>
          <w:i/>
          <w:color w:val="000000"/>
          <w:sz w:val="20"/>
          <w:szCs w:val="20"/>
        </w:rPr>
        <w:t xml:space="preserve">, Taking Security </w:t>
      </w:r>
      <w:r w:rsidRPr="00B05A0F">
        <w:rPr>
          <w:rFonts w:ascii="Times New Roman" w:hAnsi="Times New Roman" w:cs="Times New Roman"/>
          <w:color w:val="000000"/>
          <w:sz w:val="20"/>
          <w:szCs w:val="20"/>
        </w:rPr>
        <w:t>(Jordan Publishing Ltd, 2006)</w:t>
      </w:r>
      <w:r w:rsidRPr="00B05A0F">
        <w:rPr>
          <w:rFonts w:ascii="Times New Roman" w:hAnsi="Times New Roman" w:cs="Times New Roman"/>
          <w:i/>
          <w:color w:val="000000"/>
          <w:sz w:val="20"/>
          <w:szCs w:val="20"/>
        </w:rPr>
        <w:t xml:space="preserve"> 35</w:t>
      </w:r>
      <w:r w:rsidRPr="00B05A0F">
        <w:rPr>
          <w:rFonts w:ascii="Times New Roman" w:hAnsi="Times New Roman" w:cs="Times New Roman"/>
          <w:color w:val="000000"/>
          <w:sz w:val="20"/>
          <w:szCs w:val="20"/>
        </w:rPr>
        <w:t>.</w:t>
      </w:r>
    </w:p>
  </w:footnote>
  <w:footnote w:id="5">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Grant Gilmore, ‘The Secured Transactions Article of the Commercial Code’ (1951) 16 Law &amp; Cont. Prob. 27, 29.</w:t>
      </w:r>
    </w:p>
  </w:footnote>
  <w:footnote w:id="6">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Grant Gilmore, Security Interests in Personal Property </w:t>
      </w:r>
      <w:r w:rsidRPr="00B05A0F">
        <w:rPr>
          <w:rFonts w:ascii="Times New Roman" w:hAnsi="Times New Roman" w:cs="Times New Roman"/>
          <w:color w:val="000000"/>
          <w:sz w:val="20"/>
          <w:szCs w:val="20"/>
        </w:rPr>
        <w:t>( Law Book Exchange Ltd, reprinted 1999), Vol.1, 24.</w:t>
      </w:r>
    </w:p>
  </w:footnote>
  <w:footnote w:id="7">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Twyne’s Case 76 E.R. 809; (1601) 3 Co. Rep. 80</w:t>
      </w:r>
      <w:r w:rsidRPr="00B05A0F">
        <w:rPr>
          <w:rFonts w:ascii="Times New Roman" w:hAnsi="Times New Roman" w:cs="Times New Roman"/>
          <w:color w:val="000000"/>
          <w:sz w:val="20"/>
          <w:szCs w:val="20"/>
        </w:rPr>
        <w:t>.</w:t>
      </w:r>
    </w:p>
  </w:footnote>
  <w:footnote w:id="8">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A mortgage over chattel was void against other creditors if it was not registered at the appropriate registry. Registration of chattel mortgages will be discussed subsequently.</w:t>
      </w:r>
    </w:p>
  </w:footnote>
  <w:footnote w:id="9">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Aubrey Diamond, ‘Hire-Purchase Agreements as Bills of Sale’ (1960) 23 M.L.R. 399, 404–405. In </w:t>
      </w:r>
      <w:r w:rsidRPr="00B05A0F">
        <w:rPr>
          <w:rFonts w:ascii="Times New Roman" w:hAnsi="Times New Roman" w:cs="Times New Roman"/>
          <w:i/>
          <w:color w:val="000000"/>
          <w:sz w:val="20"/>
          <w:szCs w:val="20"/>
        </w:rPr>
        <w:t xml:space="preserve">Allsopp v Day 158 E.R. 552; (1861) 7 Hurl. &amp; N. 457 </w:t>
      </w:r>
      <w:r w:rsidRPr="00B05A0F">
        <w:rPr>
          <w:rFonts w:ascii="Times New Roman" w:hAnsi="Times New Roman" w:cs="Times New Roman"/>
          <w:color w:val="000000"/>
          <w:sz w:val="20"/>
          <w:szCs w:val="20"/>
        </w:rPr>
        <w:t>at 465, per Wilde B, ‘a bill of sale means an instrument by which the property passes.’</w:t>
      </w:r>
    </w:p>
  </w:footnote>
  <w:footnote w:id="10">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Diamond, ‘Hire-Purchase Agreements as Bills of Sale’ (1960) 23 M.L.R. 399, 404–405.</w:t>
      </w:r>
    </w:p>
  </w:footnote>
  <w:footnote w:id="11">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Duncan Sheehan, ‘The Abolition of Bills of Sale in Consumer Lending’ (2010) 126 L.Q.R. 356, 357.</w:t>
      </w:r>
    </w:p>
  </w:footnote>
  <w:footnote w:id="12">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Cortelyou v Lansing (1805) 2 Caines Cas. Err. 200 </w:t>
      </w:r>
      <w:r w:rsidRPr="00B05A0F">
        <w:rPr>
          <w:rFonts w:ascii="Times New Roman" w:hAnsi="Times New Roman" w:cs="Times New Roman"/>
          <w:color w:val="000000"/>
          <w:sz w:val="20"/>
          <w:szCs w:val="20"/>
        </w:rPr>
        <w:t>at 201, per Chancellor Kent: ‘delivery is essential to a pledge, but a mortgage of goods is, in certain cases valid without delivery.’</w:t>
      </w:r>
    </w:p>
  </w:footnote>
  <w:footnote w:id="13">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John W. Wigmore, ‘I. — The Pledge-Idea: A Study in Comparative Legal Ideas’ (1897) 10 </w:t>
      </w:r>
      <w:r w:rsidRPr="00B05A0F">
        <w:rPr>
          <w:rFonts w:ascii="Times New Roman" w:hAnsi="Times New Roman" w:cs="Times New Roman"/>
          <w:i/>
          <w:color w:val="000000"/>
          <w:sz w:val="20"/>
          <w:szCs w:val="20"/>
        </w:rPr>
        <w:t>Harv. L. Rev</w:t>
      </w:r>
      <w:r w:rsidRPr="00B05A0F">
        <w:rPr>
          <w:rFonts w:ascii="Times New Roman" w:hAnsi="Times New Roman" w:cs="Times New Roman"/>
          <w:color w:val="000000"/>
          <w:sz w:val="20"/>
          <w:szCs w:val="20"/>
        </w:rPr>
        <w:t>. 321.</w:t>
      </w:r>
    </w:p>
  </w:footnote>
  <w:footnote w:id="14">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Brierly v Kendall </w:t>
      </w:r>
      <w:r w:rsidRPr="00B05A0F">
        <w:rPr>
          <w:rFonts w:ascii="Times New Roman" w:hAnsi="Times New Roman" w:cs="Times New Roman"/>
          <w:color w:val="000000"/>
          <w:sz w:val="20"/>
          <w:szCs w:val="20"/>
        </w:rPr>
        <w:t xml:space="preserve">117 </w:t>
      </w:r>
      <w:r w:rsidRPr="00B05A0F">
        <w:rPr>
          <w:rFonts w:ascii="Times New Roman" w:hAnsi="Times New Roman" w:cs="Times New Roman"/>
          <w:i/>
          <w:color w:val="000000"/>
          <w:sz w:val="20"/>
          <w:szCs w:val="20"/>
        </w:rPr>
        <w:t xml:space="preserve">E.R. </w:t>
      </w:r>
      <w:r w:rsidRPr="00B05A0F">
        <w:rPr>
          <w:rFonts w:ascii="Times New Roman" w:hAnsi="Times New Roman" w:cs="Times New Roman"/>
          <w:color w:val="000000"/>
          <w:sz w:val="20"/>
          <w:szCs w:val="20"/>
        </w:rPr>
        <w:t>1540; (1852) 17 Q.B. 937</w:t>
      </w:r>
    </w:p>
  </w:footnote>
  <w:footnote w:id="15">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Cookson v Swire (1884) 9 App. Cas. 653 HL </w:t>
      </w:r>
      <w:r w:rsidRPr="00B05A0F">
        <w:rPr>
          <w:rFonts w:ascii="Times New Roman" w:hAnsi="Times New Roman" w:cs="Times New Roman"/>
          <w:color w:val="000000"/>
          <w:sz w:val="20"/>
          <w:szCs w:val="20"/>
        </w:rPr>
        <w:t xml:space="preserve">at 664–666, per Lord Blackburn. See also appeal judgment of Cockburn CJ in </w:t>
      </w:r>
      <w:r w:rsidRPr="00B05A0F">
        <w:rPr>
          <w:rFonts w:ascii="Times New Roman" w:hAnsi="Times New Roman" w:cs="Times New Roman"/>
          <w:i/>
          <w:color w:val="000000"/>
          <w:sz w:val="20"/>
          <w:szCs w:val="20"/>
        </w:rPr>
        <w:t xml:space="preserve">Brantom v Griffits (1877) 2 C.P.D. 212 CA </w:t>
      </w:r>
      <w:r w:rsidRPr="00B05A0F">
        <w:rPr>
          <w:rFonts w:ascii="Times New Roman" w:hAnsi="Times New Roman" w:cs="Times New Roman"/>
          <w:color w:val="000000"/>
          <w:sz w:val="20"/>
          <w:szCs w:val="20"/>
        </w:rPr>
        <w:t>at 214.</w:t>
      </w:r>
    </w:p>
  </w:footnote>
  <w:footnote w:id="16">
    <w:p w:rsidR="00473E89" w:rsidRPr="00B05A0F" w:rsidRDefault="00473E89" w:rsidP="00473E89">
      <w:pPr>
        <w:spacing w:after="7"/>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John de Lacy, ‘The Evolution and Regulation of Security Interests over Personal Property’</w:t>
      </w:r>
      <w:r w:rsidRPr="00B05A0F">
        <w:rPr>
          <w:rFonts w:ascii="Times New Roman" w:hAnsi="Times New Roman" w:cs="Times New Roman"/>
          <w:color w:val="000000"/>
          <w:sz w:val="20"/>
          <w:szCs w:val="20"/>
        </w:rPr>
        <w:t xml:space="preserve"> in John de Lacy (ed.)</w:t>
      </w:r>
      <w:r w:rsidRPr="00B05A0F">
        <w:rPr>
          <w:rFonts w:ascii="Times New Roman" w:hAnsi="Times New Roman" w:cs="Times New Roman"/>
          <w:i/>
          <w:color w:val="000000"/>
          <w:sz w:val="20"/>
          <w:szCs w:val="20"/>
        </w:rPr>
        <w:t xml:space="preserve">, TheReform of UK Personal Property Security Law: Comparative Perspectives </w:t>
      </w:r>
      <w:r w:rsidRPr="00B05A0F">
        <w:rPr>
          <w:rFonts w:ascii="Times New Roman" w:hAnsi="Times New Roman" w:cs="Times New Roman"/>
          <w:color w:val="000000"/>
          <w:sz w:val="20"/>
          <w:szCs w:val="20"/>
        </w:rPr>
        <w:t>(Routledge-Cavendish, 2010.17.</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p>
  </w:footnote>
  <w:footnote w:id="17">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Bills of Sale Law, Cap.B2 Vol.1, Laws of Lagos State 2003.</w:t>
      </w:r>
    </w:p>
  </w:footnote>
  <w:footnote w:id="18">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World Bank, Doing Business in Nigeria 2014: Understanding Regulations for Small and Medium-Size Enterprises </w:t>
      </w:r>
      <w:r w:rsidRPr="00B05A0F">
        <w:rPr>
          <w:rFonts w:ascii="Times New Roman" w:hAnsi="Times New Roman" w:cs="Times New Roman"/>
          <w:color w:val="000000"/>
          <w:sz w:val="20"/>
          <w:szCs w:val="20"/>
        </w:rPr>
        <w:t>( International Bank for Reconstruction and Development/The World Bank, 2014)1.</w:t>
      </w:r>
    </w:p>
  </w:footnote>
  <w:footnote w:id="19">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http://www.lagosstate.gov.ng/pagemenus.php?p=407&amp;k=31 [Accessed December 11, 2023].</w:t>
      </w:r>
    </w:p>
  </w:footnote>
  <w:footnote w:id="20">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BSL s.3. See also UK Bills of Sale Act 1878 s.4.</w:t>
      </w:r>
    </w:p>
  </w:footnote>
  <w:footnote w:id="21">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Coburn v Collins (1887) 35 Ch. D. 373 Ch D </w:t>
      </w:r>
      <w:r w:rsidRPr="00B05A0F">
        <w:rPr>
          <w:rFonts w:ascii="Times New Roman" w:hAnsi="Times New Roman" w:cs="Times New Roman"/>
          <w:color w:val="000000"/>
          <w:sz w:val="20"/>
          <w:szCs w:val="20"/>
        </w:rPr>
        <w:t xml:space="preserve">at 382; </w:t>
      </w:r>
      <w:r w:rsidRPr="00B05A0F">
        <w:rPr>
          <w:rFonts w:ascii="Times New Roman" w:hAnsi="Times New Roman" w:cs="Times New Roman"/>
          <w:i/>
          <w:color w:val="000000"/>
          <w:sz w:val="20"/>
          <w:szCs w:val="20"/>
        </w:rPr>
        <w:t>Re Vulcan Ironworks Co Ltd (1888) 4 T.L.R. 312</w:t>
      </w:r>
      <w:r w:rsidRPr="00B05A0F">
        <w:rPr>
          <w:rFonts w:ascii="Times New Roman" w:hAnsi="Times New Roman" w:cs="Times New Roman"/>
          <w:color w:val="000000"/>
          <w:sz w:val="20"/>
          <w:szCs w:val="20"/>
        </w:rPr>
        <w:t xml:space="preserve">; </w:t>
      </w:r>
      <w:r w:rsidRPr="00B05A0F">
        <w:rPr>
          <w:rFonts w:ascii="Times New Roman" w:hAnsi="Times New Roman" w:cs="Times New Roman"/>
          <w:i/>
          <w:color w:val="000000"/>
          <w:sz w:val="20"/>
          <w:szCs w:val="20"/>
        </w:rPr>
        <w:t xml:space="preserve">Newlove v Shrewsbury (1888) 21 Q.B.D. 41 CA </w:t>
      </w:r>
      <w:r w:rsidRPr="00B05A0F">
        <w:rPr>
          <w:rFonts w:ascii="Times New Roman" w:hAnsi="Times New Roman" w:cs="Times New Roman"/>
          <w:color w:val="000000"/>
          <w:sz w:val="20"/>
          <w:szCs w:val="20"/>
        </w:rPr>
        <w:t>at 45, per Lindley LJ.</w:t>
      </w:r>
    </w:p>
  </w:footnote>
  <w:footnote w:id="22">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BSL s.3.</w:t>
      </w:r>
    </w:p>
  </w:footnote>
  <w:footnote w:id="23">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Ibid.</w:t>
      </w:r>
    </w:p>
  </w:footnote>
  <w:footnote w:id="24">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Graham S. McBain, ‘Repealing the Bills of Sale Acts’ [2011] J.B.L. 475, 498.</w:t>
      </w:r>
    </w:p>
  </w:footnote>
  <w:footnote w:id="25">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(n 22).</w:t>
      </w:r>
    </w:p>
  </w:footnote>
  <w:footnote w:id="26">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Certain forms of short-term securities, such as those used in international sale of goods, for example, letters of hypothecation and declaration of trusts, were expressly exempted from the provisions of the UK Bills of Sale Act 1890. This provision is absent from the BSL.</w:t>
      </w:r>
    </w:p>
  </w:footnote>
  <w:footnote w:id="27">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(n 22).</w:t>
      </w:r>
    </w:p>
  </w:footnote>
  <w:footnote w:id="28">
    <w:p w:rsidR="00473E89" w:rsidRPr="00B05A0F" w:rsidRDefault="00473E89" w:rsidP="00473E89">
      <w:pPr>
        <w:spacing w:after="208"/>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UK Bills of Sale Act 1878 s.10(1).</w:t>
      </w:r>
    </w:p>
  </w:footnote>
  <w:footnote w:id="29">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BSL s.14. In </w:t>
      </w:r>
      <w:r w:rsidRPr="00B05A0F">
        <w:rPr>
          <w:rFonts w:ascii="Times New Roman" w:hAnsi="Times New Roman" w:cs="Times New Roman"/>
          <w:i/>
          <w:color w:val="000000"/>
          <w:sz w:val="20"/>
          <w:szCs w:val="20"/>
        </w:rPr>
        <w:t>Adetoyin v Bank of the North Ltd [1976] 2 F.N.L.R. 238</w:t>
      </w:r>
    </w:p>
  </w:footnote>
  <w:footnote w:id="30">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BSL s.18(1)(a).</w:t>
      </w:r>
    </w:p>
  </w:footnote>
  <w:footnote w:id="31">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ibid</w:t>
      </w:r>
    </w:p>
  </w:footnote>
  <w:footnote w:id="32">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A Bills of Sale Registry now exists in Lagos State.</w:t>
      </w:r>
    </w:p>
  </w:footnote>
  <w:footnote w:id="33">
    <w:p w:rsidR="00473E89" w:rsidRPr="00B05A0F" w:rsidRDefault="00473E89" w:rsidP="00473E89">
      <w:pPr>
        <w:spacing w:after="208"/>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BSL s.14. See UK Bills of Sale Act 1882 s.8. Registration is to be effected after attestation. This section is to be construed along with s.10 of the Principal Act (UK Bills of Sale Act 1878).</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p>
  </w:footnote>
  <w:footnote w:id="34">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Bills of Sale Law s.21. See generally Schedule Form annexed to the Bills of Sale Act 1882; Schedule Form B of the Bills of Sale Law.</w:t>
      </w:r>
    </w:p>
  </w:footnote>
  <w:footnote w:id="35">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(n 22).</w:t>
      </w:r>
    </w:p>
  </w:footnote>
  <w:footnote w:id="36">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(n 22).</w:t>
      </w:r>
    </w:p>
  </w:footnote>
  <w:footnote w:id="37">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(n 22).</w:t>
      </w:r>
    </w:p>
  </w:footnote>
  <w:footnote w:id="38">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 xml:space="preserve">Dearle v Hall </w:t>
      </w:r>
      <w:r w:rsidRPr="00B05A0F">
        <w:rPr>
          <w:rFonts w:ascii="Times New Roman" w:hAnsi="Times New Roman" w:cs="Times New Roman"/>
          <w:color w:val="000000"/>
          <w:sz w:val="20"/>
          <w:szCs w:val="20"/>
        </w:rPr>
        <w:t>38 E.R. 475; (1828)</w:t>
      </w:r>
      <w:r w:rsidRPr="00B05A0F">
        <w:rPr>
          <w:rFonts w:ascii="Times New Roman" w:hAnsi="Times New Roman" w:cs="Times New Roman"/>
          <w:i/>
          <w:color w:val="000000"/>
          <w:sz w:val="20"/>
          <w:szCs w:val="20"/>
        </w:rPr>
        <w:t xml:space="preserve"> 3 Russ.</w:t>
      </w:r>
      <w:r w:rsidRPr="00B05A0F">
        <w:rPr>
          <w:rFonts w:ascii="Times New Roman" w:hAnsi="Times New Roman" w:cs="Times New Roman"/>
          <w:color w:val="000000"/>
          <w:sz w:val="20"/>
          <w:szCs w:val="20"/>
        </w:rPr>
        <w:t xml:space="preserve"> 1</w:t>
      </w:r>
      <w:r w:rsidRPr="00B05A0F">
        <w:rPr>
          <w:rFonts w:ascii="Times New Roman" w:hAnsi="Times New Roman" w:cs="Times New Roman"/>
          <w:i/>
          <w:color w:val="000000"/>
          <w:sz w:val="20"/>
          <w:szCs w:val="20"/>
        </w:rPr>
        <w:t xml:space="preserve"> Ch D</w:t>
      </w:r>
      <w:r w:rsidRPr="00B05A0F">
        <w:rPr>
          <w:rFonts w:ascii="Times New Roman" w:hAnsi="Times New Roman" w:cs="Times New Roman"/>
          <w:color w:val="000000"/>
          <w:sz w:val="20"/>
          <w:szCs w:val="20"/>
        </w:rPr>
        <w:t>.</w:t>
      </w:r>
    </w:p>
  </w:footnote>
  <w:footnote w:id="39">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‘Mortgages on Future Crops as Security for Government Loans’ (1937) 47 </w:t>
      </w:r>
      <w:r w:rsidRPr="00B05A0F">
        <w:rPr>
          <w:rFonts w:ascii="Times New Roman" w:hAnsi="Times New Roman" w:cs="Times New Roman"/>
          <w:i/>
          <w:color w:val="000000"/>
          <w:sz w:val="20"/>
          <w:szCs w:val="20"/>
        </w:rPr>
        <w:t>Yale Law Journal</w:t>
      </w:r>
      <w:r w:rsidRPr="00B05A0F">
        <w:rPr>
          <w:rFonts w:ascii="Times New Roman" w:hAnsi="Times New Roman" w:cs="Times New Roman"/>
          <w:color w:val="000000"/>
          <w:sz w:val="20"/>
          <w:szCs w:val="20"/>
        </w:rPr>
        <w:t xml:space="preserve"> 98, 99.</w:t>
      </w:r>
    </w:p>
  </w:footnote>
  <w:footnote w:id="40">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 Edmund E. Mietus, ‘Chattel Mortgages on After-acquired Property’ (1939) 23 </w:t>
      </w:r>
      <w:r w:rsidRPr="00B05A0F">
        <w:rPr>
          <w:rFonts w:ascii="Times New Roman" w:hAnsi="Times New Roman" w:cs="Times New Roman"/>
          <w:i/>
          <w:color w:val="000000"/>
          <w:sz w:val="20"/>
          <w:szCs w:val="20"/>
        </w:rPr>
        <w:t>Marq. L. Rev</w:t>
      </w:r>
      <w:r w:rsidRPr="00B05A0F">
        <w:rPr>
          <w:rFonts w:ascii="Times New Roman" w:hAnsi="Times New Roman" w:cs="Times New Roman"/>
          <w:color w:val="000000"/>
          <w:sz w:val="20"/>
          <w:szCs w:val="20"/>
        </w:rPr>
        <w:t>. 80, 81.</w:t>
      </w:r>
    </w:p>
  </w:footnote>
  <w:footnote w:id="41">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BSL s.4.</w:t>
      </w:r>
    </w:p>
  </w:footnote>
  <w:footnote w:id="42">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David W. McLauchlan, ‘Securities over Future Goods’ (1973–75) 7 </w:t>
      </w:r>
      <w:r w:rsidRPr="00B05A0F">
        <w:rPr>
          <w:rFonts w:ascii="Times New Roman" w:hAnsi="Times New Roman" w:cs="Times New Roman"/>
          <w:i/>
          <w:color w:val="000000"/>
          <w:sz w:val="20"/>
          <w:szCs w:val="20"/>
        </w:rPr>
        <w:t>Victoria U. Wellington L. Rev</w:t>
      </w:r>
      <w:r w:rsidRPr="00B05A0F">
        <w:rPr>
          <w:rFonts w:ascii="Times New Roman" w:hAnsi="Times New Roman" w:cs="Times New Roman"/>
          <w:color w:val="000000"/>
          <w:sz w:val="20"/>
          <w:szCs w:val="20"/>
        </w:rPr>
        <w:t>. 122, 129.</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p>
  </w:footnote>
  <w:footnote w:id="43">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UK Bankruptcy Act 1623 s.11. This provision can also be found in the now repealed UK Bankruptcy Act 1914 s38(c).</w:t>
      </w:r>
    </w:p>
  </w:footnote>
  <w:footnote w:id="44">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Collateral Registry Regulation 2014, Issued by the Governor of Central Bank of Nigeria (CBN), September 2014.</w:t>
      </w:r>
    </w:p>
  </w:footnote>
  <w:footnote w:id="45">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CBN Regulation 2014 reg.3(1).</w:t>
      </w:r>
    </w:p>
  </w:footnote>
  <w:footnote w:id="46">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CBN Regulation 2014 reg.3(4)(c)(iii).</w:t>
      </w:r>
    </w:p>
  </w:footnote>
  <w:footnote w:id="47">
    <w:p w:rsidR="00473E89" w:rsidRPr="00B05A0F" w:rsidRDefault="00473E89" w:rsidP="00473E89">
      <w:pPr>
        <w:jc w:val="both"/>
        <w:rPr>
          <w:rFonts w:ascii="Times New Roman" w:eastAsia="Arial"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It expressly states, however, that it excludes registrable charges under the Companies and Allied Matters Act—CBN Regulation 2014 reg.3(4)(b).</w:t>
      </w:r>
    </w:p>
  </w:footnote>
  <w:footnote w:id="48">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Department for Business, Innovation and Skills (BIS), A Better Deal for Consumers: Consultation on Proposal to Ban the Use of Bills of Sale for Consumer Lending (December 2009), paras 35–38</w:t>
      </w:r>
      <w:r w:rsidRPr="00B05A0F">
        <w:rPr>
          <w:rFonts w:ascii="Times New Roman" w:hAnsi="Times New Roman" w:cs="Times New Roman"/>
          <w:color w:val="000000"/>
          <w:sz w:val="20"/>
          <w:szCs w:val="20"/>
        </w:rPr>
        <w:t>.</w:t>
      </w:r>
    </w:p>
  </w:footnote>
  <w:footnote w:id="49">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Lord Crowther, Report of the Committee on Consumer Credit (1971), Cmnd 4596, Vol.1, para.4.2.12</w:t>
      </w:r>
      <w:r w:rsidRPr="00B05A0F">
        <w:rPr>
          <w:rFonts w:ascii="Times New Roman" w:hAnsi="Times New Roman" w:cs="Times New Roman"/>
          <w:color w:val="000000"/>
          <w:sz w:val="20"/>
          <w:szCs w:val="20"/>
        </w:rPr>
        <w:t>: "It is difficult to imagine any legislation possessing more technical pitfalls than the Bills of Sale Act, particularly in relation to security bills of sale."</w:t>
      </w:r>
    </w:p>
    <w:p w:rsidR="00473E89" w:rsidRPr="00B05A0F" w:rsidRDefault="00473E89" w:rsidP="00473E89">
      <w:pPr>
        <w:pBdr>
          <w:top w:val="nil"/>
          <w:left w:val="nil"/>
          <w:bottom w:val="nil"/>
          <w:right w:val="nil"/>
          <w:between w:val="nil"/>
        </w:pBdr>
        <w:jc w:val="both"/>
        <w:rPr>
          <w:rFonts w:ascii="Times New Roman" w:hAnsi="Times New Roman" w:cs="Times New Roman"/>
          <w:color w:val="000000"/>
          <w:sz w:val="20"/>
          <w:szCs w:val="20"/>
        </w:rPr>
      </w:pPr>
    </w:p>
  </w:footnote>
  <w:footnote w:id="50">
    <w:p w:rsidR="00473E89" w:rsidRPr="00B05A0F" w:rsidRDefault="00473E89" w:rsidP="00473E89">
      <w:pPr>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color w:val="000000"/>
          <w:sz w:val="20"/>
          <w:szCs w:val="20"/>
        </w:rPr>
        <w:t xml:space="preserve">Aubrey L. Diamond, </w:t>
      </w:r>
      <w:r w:rsidRPr="00B05A0F">
        <w:rPr>
          <w:rFonts w:ascii="Times New Roman" w:hAnsi="Times New Roman" w:cs="Times New Roman"/>
          <w:i/>
          <w:color w:val="000000"/>
          <w:sz w:val="20"/>
          <w:szCs w:val="20"/>
        </w:rPr>
        <w:t>A Review of Security Interests in Property (HMSO, 1989), para.18.1.8</w:t>
      </w:r>
      <w:r w:rsidRPr="00B05A0F">
        <w:rPr>
          <w:rFonts w:ascii="Times New Roman" w:hAnsi="Times New Roman" w:cs="Times New Roman"/>
          <w:color w:val="000000"/>
          <w:sz w:val="20"/>
          <w:szCs w:val="20"/>
        </w:rPr>
        <w:t>: ‘the time has come to repeal the Bills of Sale Acts.’</w:t>
      </w:r>
    </w:p>
  </w:footnote>
  <w:footnote w:id="51">
    <w:p w:rsidR="00473E89" w:rsidRPr="00B05A0F" w:rsidRDefault="00473E89" w:rsidP="00473E89">
      <w:pPr>
        <w:spacing w:after="207"/>
        <w:jc w:val="both"/>
        <w:rPr>
          <w:rFonts w:ascii="Times New Roman" w:hAnsi="Times New Roman" w:cs="Times New Roman"/>
          <w:color w:val="000000"/>
          <w:sz w:val="20"/>
          <w:szCs w:val="20"/>
        </w:rPr>
      </w:pPr>
      <w:r w:rsidRPr="00B05A0F">
        <w:rPr>
          <w:rFonts w:ascii="Times New Roman" w:hAnsi="Times New Roman" w:cs="Times New Roman"/>
          <w:sz w:val="20"/>
          <w:szCs w:val="20"/>
          <w:vertAlign w:val="superscript"/>
        </w:rPr>
        <w:footnoteRef/>
      </w:r>
      <w:r w:rsidRPr="00B05A0F">
        <w:rPr>
          <w:rFonts w:ascii="Times New Roman" w:hAnsi="Times New Roman" w:cs="Times New Roman"/>
          <w:i/>
          <w:color w:val="000000"/>
          <w:sz w:val="20"/>
          <w:szCs w:val="20"/>
        </w:rPr>
        <w:t>World Bank, Doing Business 2015: Economic Profile Nigeria (Washington, DC: International Bank for Reconstruction and Development/The World Bank, 2015) 64</w:t>
      </w:r>
      <w:r w:rsidRPr="00B05A0F">
        <w:rPr>
          <w:rFonts w:ascii="Times New Roman" w:hAnsi="Times New Roman" w:cs="Times New Roman"/>
          <w:color w:val="000000"/>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3F2" w:rsidRDefault="00F163F2" w:rsidP="00F163F2">
    <w:pPr>
      <w:pStyle w:val="Header"/>
    </w:pPr>
  </w:p>
  <w:p w:rsidR="00F163F2" w:rsidRDefault="00875B26" w:rsidP="00F163F2">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565150</wp:posOffset>
              </wp:positionH>
              <wp:positionV relativeFrom="paragraph">
                <wp:posOffset>144145</wp:posOffset>
              </wp:positionV>
              <wp:extent cx="4743450" cy="5016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01650"/>
                      </a:xfrm>
                      <a:prstGeom prst="rect">
                        <a:avLst/>
                      </a:prstGeom>
                      <a:noFill/>
                      <a:ln w="6350">
                        <a:noFill/>
                      </a:ln>
                    </wps:spPr>
                    <wps:txbx>
                      <w:txbxContent>
                        <w:p w:rsidR="00F163F2" w:rsidRPr="00466C02" w:rsidRDefault="00F163F2" w:rsidP="00F163F2">
                          <w:pPr>
                            <w:spacing w:after="0"/>
                            <w:jc w:val="center"/>
                            <w:rPr>
                              <w:rFonts w:ascii="Century Gothic" w:hAnsi="Century Gothic" w:cs="Times New Roman"/>
                              <w:bCs/>
                              <w:sz w:val="17"/>
                              <w:szCs w:val="17"/>
                            </w:rPr>
                          </w:pPr>
                          <w:r w:rsidRPr="00466C02">
                            <w:rPr>
                              <w:rFonts w:ascii="Century Gothic" w:hAnsi="Century Gothic" w:cs="Times New Roman"/>
                              <w:bCs/>
                              <w:sz w:val="17"/>
                              <w:szCs w:val="17"/>
                            </w:rPr>
                            <w:t>JOURNAL OF PRIVATE AND PROPE</w:t>
                          </w:r>
                          <w:r>
                            <w:rPr>
                              <w:rFonts w:ascii="Century Gothic" w:hAnsi="Century Gothic" w:cs="Times New Roman"/>
                              <w:bCs/>
                              <w:sz w:val="17"/>
                              <w:szCs w:val="17"/>
                            </w:rPr>
                            <w:t>RTY LAW</w:t>
                          </w:r>
                          <w:r w:rsidRPr="00466C02">
                            <w:rPr>
                              <w:rFonts w:ascii="Century Gothic" w:hAnsi="Century Gothic" w:cs="Times New Roman"/>
                              <w:bCs/>
                              <w:sz w:val="17"/>
                              <w:szCs w:val="17"/>
                            </w:rPr>
                            <w:t xml:space="preserve"> – </w:t>
                          </w:r>
                          <w:r w:rsidRPr="005E6481">
                            <w:rPr>
                              <w:rFonts w:ascii="Century Gothic" w:hAnsi="Century Gothic" w:cs="Times New Roman"/>
                              <w:b/>
                              <w:bCs/>
                              <w:sz w:val="17"/>
                              <w:szCs w:val="17"/>
                            </w:rPr>
                            <w:t>ISSN:1119-8206</w:t>
                          </w:r>
                          <w:r>
                            <w:rPr>
                              <w:rFonts w:ascii="Century Gothic" w:hAnsi="Century Gothic" w:cs="Times New Roman"/>
                              <w:b/>
                              <w:bCs/>
                              <w:sz w:val="17"/>
                              <w:szCs w:val="17"/>
                            </w:rPr>
                            <w:t xml:space="preserve"> VOL.20(1) DECEMBER 2023</w:t>
                          </w:r>
                        </w:p>
                        <w:p w:rsidR="00F163F2" w:rsidRPr="00466C02" w:rsidRDefault="00F163F2" w:rsidP="00F163F2">
                          <w:pPr>
                            <w:spacing w:after="0"/>
                            <w:jc w:val="center"/>
                            <w:rPr>
                              <w:rFonts w:ascii="Century Gothic" w:hAnsi="Century Gothic"/>
                              <w:sz w:val="17"/>
                              <w:szCs w:val="17"/>
                            </w:rPr>
                          </w:pPr>
                          <w:r w:rsidRPr="00466C02">
                            <w:rPr>
                              <w:rFonts w:ascii="Century Gothic" w:hAnsi="Century Gothic" w:cs="Times New Roman"/>
                              <w:bCs/>
                              <w:sz w:val="17"/>
                              <w:szCs w:val="17"/>
                            </w:rPr>
                            <w:t>PUBLISHED BY DEPARTMENT OF PRIVATE AND PROPERTY LAW, RIVERS STATE UNIVERSITY</w:t>
                          </w:r>
                        </w:p>
                        <w:p w:rsidR="00F163F2" w:rsidRPr="00466C02" w:rsidRDefault="00F163F2" w:rsidP="00F163F2">
                          <w:pPr>
                            <w:spacing w:after="0"/>
                            <w:jc w:val="center"/>
                            <w:rPr>
                              <w:rFonts w:ascii="Century Gothic" w:hAnsi="Century Gothic"/>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5pt;margin-top:11.35pt;width:373.5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" filled="f" stroked="f" strokeweight=".5pt">
              <v:path arrowok="t"/>
              <v:textbox>
                <w:txbxContent>
                  <w:p w:rsidR="00F163F2" w:rsidRPr="00466C02" w:rsidRDefault="00F163F2" w:rsidP="00F163F2">
                    <w:pPr>
                      <w:spacing w:after="0"/>
                      <w:jc w:val="center"/>
                      <w:rPr>
                        <w:rFonts w:ascii="Century Gothic" w:hAnsi="Century Gothic" w:cs="Times New Roman"/>
                        <w:bCs/>
                        <w:sz w:val="17"/>
                        <w:szCs w:val="17"/>
                      </w:rPr>
                    </w:pPr>
                    <w:r w:rsidRPr="00466C02">
                      <w:rPr>
                        <w:rFonts w:ascii="Century Gothic" w:hAnsi="Century Gothic" w:cs="Times New Roman"/>
                        <w:bCs/>
                        <w:sz w:val="17"/>
                        <w:szCs w:val="17"/>
                      </w:rPr>
                      <w:t>JOURNAL OF PRIVATE AND PROPE</w:t>
                    </w:r>
                    <w:r>
                      <w:rPr>
                        <w:rFonts w:ascii="Century Gothic" w:hAnsi="Century Gothic" w:cs="Times New Roman"/>
                        <w:bCs/>
                        <w:sz w:val="17"/>
                        <w:szCs w:val="17"/>
                      </w:rPr>
                      <w:t>RTY LAW</w:t>
                    </w:r>
                    <w:r w:rsidRPr="00466C02">
                      <w:rPr>
                        <w:rFonts w:ascii="Century Gothic" w:hAnsi="Century Gothic" w:cs="Times New Roman"/>
                        <w:bCs/>
                        <w:sz w:val="17"/>
                        <w:szCs w:val="17"/>
                      </w:rPr>
                      <w:t xml:space="preserve"> – </w:t>
                    </w:r>
                    <w:r w:rsidRPr="005E6481">
                      <w:rPr>
                        <w:rFonts w:ascii="Century Gothic" w:hAnsi="Century Gothic" w:cs="Times New Roman"/>
                        <w:b/>
                        <w:bCs/>
                        <w:sz w:val="17"/>
                        <w:szCs w:val="17"/>
                      </w:rPr>
                      <w:t>ISSN:1119-8206</w:t>
                    </w:r>
                    <w:r>
                      <w:rPr>
                        <w:rFonts w:ascii="Century Gothic" w:hAnsi="Century Gothic" w:cs="Times New Roman"/>
                        <w:b/>
                        <w:bCs/>
                        <w:sz w:val="17"/>
                        <w:szCs w:val="17"/>
                      </w:rPr>
                      <w:t xml:space="preserve"> VOL.20(1) DECEMBER 2023</w:t>
                    </w:r>
                  </w:p>
                  <w:p w:rsidR="00F163F2" w:rsidRPr="00466C02" w:rsidRDefault="00F163F2" w:rsidP="00F163F2">
                    <w:pPr>
                      <w:spacing w:after="0"/>
                      <w:jc w:val="center"/>
                      <w:rPr>
                        <w:rFonts w:ascii="Century Gothic" w:hAnsi="Century Gothic"/>
                        <w:sz w:val="17"/>
                        <w:szCs w:val="17"/>
                      </w:rPr>
                    </w:pPr>
                    <w:r w:rsidRPr="00466C02">
                      <w:rPr>
                        <w:rFonts w:ascii="Century Gothic" w:hAnsi="Century Gothic" w:cs="Times New Roman"/>
                        <w:bCs/>
                        <w:sz w:val="17"/>
                        <w:szCs w:val="17"/>
                      </w:rPr>
                      <w:t>PUBLISHED BY DEPARTMENT OF PRIVATE AND PROPERTY LAW, RIVERS STATE UNIVERSITY</w:t>
                    </w:r>
                  </w:p>
                  <w:p w:rsidR="00F163F2" w:rsidRPr="00466C02" w:rsidRDefault="00F163F2" w:rsidP="00F163F2">
                    <w:pPr>
                      <w:spacing w:after="0"/>
                      <w:jc w:val="center"/>
                      <w:rPr>
                        <w:rFonts w:ascii="Century Gothic" w:hAnsi="Century Gothic"/>
                        <w:sz w:val="17"/>
                        <w:szCs w:val="17"/>
                      </w:rPr>
                    </w:pPr>
                  </w:p>
                </w:txbxContent>
              </v:textbox>
            </v:shape>
          </w:pict>
        </mc:Fallback>
      </mc:AlternateContent>
    </w:r>
    <w:r w:rsidR="00F163F2">
      <w:rPr>
        <w:noProof/>
        <w:sz w:val="18"/>
        <w:szCs w:val="18"/>
      </w:rPr>
      <w:drawing>
        <wp:anchor distT="0" distB="0" distL="114300" distR="114300" simplePos="0" relativeHeight="251660288" behindDoc="1" locked="0" layoutInCell="1" allowOverlap="1" wp14:anchorId="15ABD9B2" wp14:editId="7CCB5176">
          <wp:simplePos x="0" y="0"/>
          <wp:positionH relativeFrom="column">
            <wp:posOffset>5455285</wp:posOffset>
          </wp:positionH>
          <wp:positionV relativeFrom="paragraph">
            <wp:posOffset>68580</wp:posOffset>
          </wp:positionV>
          <wp:extent cx="428625" cy="428625"/>
          <wp:effectExtent l="0" t="0" r="9525" b="9525"/>
          <wp:wrapTight wrapText="bothSides">
            <wp:wrapPolygon edited="0">
              <wp:start x="0" y="0"/>
              <wp:lineTo x="0" y="21120"/>
              <wp:lineTo x="21120" y="21120"/>
              <wp:lineTo x="21120" y="0"/>
              <wp:lineTo x="0" y="0"/>
            </wp:wrapPolygon>
          </wp:wrapTight>
          <wp:docPr id="1" name="Picture 1" descr="Description: jour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journal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3F2">
      <w:rPr>
        <w:noProof/>
      </w:rPr>
      <w:drawing>
        <wp:anchor distT="0" distB="0" distL="114300" distR="114300" simplePos="0" relativeHeight="251659264" behindDoc="1" locked="0" layoutInCell="1" allowOverlap="1" wp14:anchorId="1F0106DE" wp14:editId="057134D0">
          <wp:simplePos x="0" y="0"/>
          <wp:positionH relativeFrom="column">
            <wp:posOffset>-44450</wp:posOffset>
          </wp:positionH>
          <wp:positionV relativeFrom="paragraph">
            <wp:posOffset>80645</wp:posOffset>
          </wp:positionV>
          <wp:extent cx="425450" cy="416560"/>
          <wp:effectExtent l="0" t="0" r="0" b="2540"/>
          <wp:wrapTight wrapText="bothSides">
            <wp:wrapPolygon edited="0">
              <wp:start x="0" y="0"/>
              <wp:lineTo x="0" y="20744"/>
              <wp:lineTo x="20310" y="20744"/>
              <wp:lineTo x="20310" y="0"/>
              <wp:lineTo x="0" y="0"/>
            </wp:wrapPolygon>
          </wp:wrapTight>
          <wp:docPr id="4" name="Picture 2" descr="Description: US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UST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2545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3F2" w:rsidRDefault="00F163F2" w:rsidP="00F163F2">
    <w:pPr>
      <w:pStyle w:val="Header"/>
    </w:pPr>
  </w:p>
  <w:p w:rsidR="00F163F2" w:rsidRPr="00B540FC" w:rsidRDefault="00875B26" w:rsidP="00F163F2">
    <w:pPr>
      <w:pStyle w:val="Header"/>
      <w:rPr>
        <w:rFonts w:ascii="Times New Roman" w:hAnsi="Times New Roman" w:cs="Times New Roman"/>
        <w:i/>
        <w:iCs/>
        <w:sz w:val="18"/>
        <w:szCs w:val="18"/>
      </w:rPr>
    </w:pPr>
    <w:r>
      <w:rPr>
        <w:noProof/>
      </w:rPr>
      <mc:AlternateContent>
        <mc:Choice Requires="wps">
          <w:drawing>
            <wp:anchor distT="0" distB="0" distL="114300" distR="114300" simplePos="0" relativeHeight="251663360" behindDoc="0" locked="0" layoutInCell="1" allowOverlap="1">
              <wp:simplePos x="0" y="0"/>
              <wp:positionH relativeFrom="page">
                <wp:posOffset>-7620</wp:posOffset>
              </wp:positionH>
              <wp:positionV relativeFrom="paragraph">
                <wp:posOffset>215265</wp:posOffset>
              </wp:positionV>
              <wp:extent cx="7747000" cy="49530"/>
              <wp:effectExtent l="0" t="0" r="6350" b="762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00" cy="49530"/>
                      </a:xfrm>
                      <a:prstGeom prst="rect">
                        <a:avLst/>
                      </a:prstGeom>
                      <a:solidFill>
                        <a:schemeClr val="accent6">
                          <a:lumMod val="75000"/>
                        </a:schemeClr>
                      </a:solidFill>
                      <a:ln w="6350">
                        <a:solidFill>
                          <a:schemeClr val="bg1"/>
                        </a:solidFill>
                      </a:ln>
                    </wps:spPr>
                    <wps:txbx>
                      <w:txbxContent>
                        <w:p w:rsidR="00F163F2" w:rsidRDefault="00F163F2" w:rsidP="00F163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6pt;margin-top:16.95pt;width:610pt;height:3.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" fillcolor="#e36c0a [2409]" strokecolor="white [3212]" strokeweight=".5pt">
              <v:path arrowok="t"/>
              <v:textbox>
                <w:txbxContent>
                  <w:p w:rsidR="00F163F2" w:rsidRDefault="00F163F2" w:rsidP="00F163F2"/>
                </w:txbxContent>
              </v:textbox>
              <w10:wrap anchorx="page"/>
            </v:shape>
          </w:pict>
        </mc:Fallback>
      </mc:AlternateContent>
    </w:r>
    <w:r w:rsidR="00F163F2">
      <w:rPr>
        <w:rFonts w:ascii="Times New Roman" w:hAnsi="Times New Roman" w:cs="Times New Roman"/>
        <w:i/>
        <w:iCs/>
        <w:sz w:val="20"/>
        <w:szCs w:val="20"/>
      </w:rPr>
      <w:tab/>
    </w:r>
  </w:p>
  <w:p w:rsidR="00F163F2" w:rsidRDefault="00875B26" w:rsidP="00F163F2">
    <w:pPr>
      <w:pStyle w:val="Header"/>
      <w:rPr>
        <w:rFonts w:ascii="Times New Roman" w:hAnsi="Times New Roman" w:cs="Times New Roman"/>
        <w:i/>
        <w:iCs/>
        <w:sz w:val="20"/>
        <w:szCs w:val="20"/>
      </w:rPr>
    </w:pPr>
    <w:r>
      <w:rPr>
        <w:noProof/>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ragraph">
                <wp:posOffset>144145</wp:posOffset>
              </wp:positionV>
              <wp:extent cx="7747000" cy="49530"/>
              <wp:effectExtent l="0" t="0" r="6350" b="762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00" cy="49530"/>
                      </a:xfrm>
                      <a:prstGeom prst="rect">
                        <a:avLst/>
                      </a:prstGeom>
                      <a:solidFill>
                        <a:schemeClr val="accent1">
                          <a:lumMod val="75000"/>
                        </a:schemeClr>
                      </a:solidFill>
                      <a:ln w="6350">
                        <a:solidFill>
                          <a:schemeClr val="bg1"/>
                        </a:solidFill>
                      </a:ln>
                    </wps:spPr>
                    <wps:txbx>
                      <w:txbxContent>
                        <w:p w:rsidR="00F163F2" w:rsidRDefault="00F163F2" w:rsidP="00F163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1.35pt;width:610pt;height:3.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" fillcolor="#365f91 [2404]" strokecolor="white [3212]" strokeweight=".5pt">
              <v:path arrowok="t"/>
              <v:textbox>
                <w:txbxContent>
                  <w:p w:rsidR="00F163F2" w:rsidRDefault="00F163F2" w:rsidP="00F163F2"/>
                </w:txbxContent>
              </v:textbox>
              <w10:wrap anchorx="page"/>
            </v:shape>
          </w:pict>
        </mc:Fallback>
      </mc:AlternateContent>
    </w:r>
  </w:p>
  <w:p w:rsidR="00F163F2" w:rsidRPr="00984F3C" w:rsidRDefault="00F163F2" w:rsidP="00F163F2">
    <w:pPr>
      <w:pStyle w:val="Header"/>
    </w:pPr>
  </w:p>
  <w:p w:rsidR="001E247B" w:rsidRPr="00F163F2" w:rsidRDefault="001E247B" w:rsidP="00F163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86F18"/>
    <w:multiLevelType w:val="multilevel"/>
    <w:tmpl w:val="545A64A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A0A1A01"/>
    <w:multiLevelType w:val="multilevel"/>
    <w:tmpl w:val="7CE2746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BF71B9C"/>
    <w:multiLevelType w:val="multilevel"/>
    <w:tmpl w:val="A82C44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905B8A"/>
    <w:multiLevelType w:val="multilevel"/>
    <w:tmpl w:val="20F83BD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238F6B7D"/>
    <w:multiLevelType w:val="multilevel"/>
    <w:tmpl w:val="DB108E94"/>
    <w:lvl w:ilvl="0">
      <w:start w:val="1"/>
      <w:numFmt w:val="decimal"/>
      <w:lvlText w:val="%1."/>
      <w:lvlJc w:val="left"/>
      <w:pPr>
        <w:ind w:left="720" w:hanging="360"/>
      </w:pPr>
      <w:rPr>
        <w:b/>
      </w:rPr>
    </w:lvl>
    <w:lvl w:ilvl="1">
      <w:start w:val="1"/>
      <w:numFmt w:val="lowerLetter"/>
      <w:lvlText w:val="(%2)"/>
      <w:lvlJc w:val="left"/>
      <w:pPr>
        <w:ind w:left="1455" w:hanging="37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095774"/>
    <w:multiLevelType w:val="multilevel"/>
    <w:tmpl w:val="8B1E95A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6B851920"/>
    <w:multiLevelType w:val="multilevel"/>
    <w:tmpl w:val="1A40589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EF55C49"/>
    <w:multiLevelType w:val="multilevel"/>
    <w:tmpl w:val="2F98596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7"/>
  </w:num>
  <w:num w:numId="3">
    <w:abstractNumId w:val="3"/>
  </w:num>
  <w:num w:numId="4">
    <w:abstractNumId w:val="5"/>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7B"/>
    <w:rsid w:val="001E247B"/>
    <w:rsid w:val="003B20D9"/>
    <w:rsid w:val="0041480C"/>
    <w:rsid w:val="004525BC"/>
    <w:rsid w:val="00473E89"/>
    <w:rsid w:val="0067692F"/>
    <w:rsid w:val="00776639"/>
    <w:rsid w:val="00875B26"/>
    <w:rsid w:val="00C75ACD"/>
    <w:rsid w:val="00C93F26"/>
    <w:rsid w:val="00CE4DD0"/>
    <w:rsid w:val="00D545EE"/>
    <w:rsid w:val="00DA5284"/>
    <w:rsid w:val="00F16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70A2B-9336-43EB-8B65-10B174FA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7B"/>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47B"/>
    <w:rPr>
      <w:color w:val="0000FF"/>
      <w:u w:val="single"/>
    </w:rPr>
  </w:style>
  <w:style w:type="paragraph" w:styleId="ListParagraph">
    <w:name w:val="List Paragraph"/>
    <w:basedOn w:val="Normal"/>
    <w:qFormat/>
    <w:rsid w:val="001E247B"/>
    <w:pPr>
      <w:ind w:left="720"/>
    </w:pPr>
  </w:style>
  <w:style w:type="paragraph" w:styleId="Header">
    <w:name w:val="header"/>
    <w:basedOn w:val="Normal"/>
    <w:link w:val="HeaderChar"/>
    <w:uiPriority w:val="99"/>
    <w:unhideWhenUsed/>
    <w:rsid w:val="001E2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47B"/>
    <w:rPr>
      <w:rFonts w:ascii="Calibri" w:eastAsia="Times New Roman" w:hAnsi="Calibri" w:cs="Calibri"/>
    </w:rPr>
  </w:style>
  <w:style w:type="paragraph" w:styleId="Footer">
    <w:name w:val="footer"/>
    <w:basedOn w:val="Normal"/>
    <w:link w:val="FooterChar"/>
    <w:uiPriority w:val="99"/>
    <w:unhideWhenUsed/>
    <w:rsid w:val="001E2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47B"/>
    <w:rPr>
      <w:rFonts w:ascii="Calibri" w:eastAsia="Times New Roman" w:hAnsi="Calibri" w:cs="Calibri"/>
    </w:rPr>
  </w:style>
  <w:style w:type="paragraph" w:styleId="BalloonText">
    <w:name w:val="Balloon Text"/>
    <w:basedOn w:val="Normal"/>
    <w:link w:val="BalloonTextChar"/>
    <w:uiPriority w:val="99"/>
    <w:semiHidden/>
    <w:unhideWhenUsed/>
    <w:rsid w:val="001E2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4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chinyeredivine@gmail.com" TargetMode="External"/><Relationship Id="rId2" Type="http://schemas.openxmlformats.org/officeDocument/2006/relationships/hyperlink" Target="mailto:owuruchile@gmail.com" TargetMode="External"/><Relationship Id="rId1" Type="http://schemas.openxmlformats.org/officeDocument/2006/relationships/hyperlink" Target="mailto:cheeamakah.ateliar90@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4346</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Kalu</dc:creator>
  <cp:lastModifiedBy>VISION360</cp:lastModifiedBy>
  <cp:revision>2</cp:revision>
  <dcterms:created xsi:type="dcterms:W3CDTF">2026-04-30T04:55:00Z</dcterms:created>
  <dcterms:modified xsi:type="dcterms:W3CDTF">2026-04-30T04:55:00Z</dcterms:modified>
</cp:coreProperties>
</file>